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https://www.autoritedelaconcurrence.fr/fr/decision-de-controle-des-concentrations/relative-la-prise-de-controle-conjoint-de-la-societe-issy</w:t>
      </w:r>
    </w:p>
    <w:p>
      <w:r>
        <w:t>Pages translated : 4</w:t>
      </w:r>
    </w:p>
    <w:p/>
    <w:p>
      <w:r>
        <w:rPr>
          <w:b/>
        </w:rPr>
        <w:t>[Pages 1–3]</w:t>
      </w:r>
    </w:p>
    <w:p>
      <w:r>
        <w:t xml:space="preserve">FRENCH REPUBLIC  </w:t>
        <w:br/>
        <w:t xml:space="preserve">Decision No. 17-DCC-99 of July 25, 2017  </w:t>
        <w:br/>
        <w:t>regarding the joint control of the company Issy Camille Desmoulins by the companies Bouygues Immobilier and Primonial Real Estate Investment Management</w:t>
      </w:r>
    </w:p>
    <w:p>
      <w:r>
        <w:t xml:space="preserve">The Competition Authority,  </w:t>
        <w:br/>
        <w:t xml:space="preserve">Having regard to the notification file submitted in full to the concentrations service on May 29, 2017, regarding the joint control of the company Issy Camille Desmoulins by the companies Bouygues Immobilier and Primonial Real Estate Investment Management, formalized by a letter of intent dated April 13, 2017;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Bouygues Immobilier, a subsidiary of the Bouygues group, is active in the real estate development sector. It develops housing projects, office buildings, and shopping centers in France and Europe. The Bouygues group is active in the construction sectors (through its subsidiaries Bouygues Construction, Bouygues Immobilier, and Colas) and telecommunications and media (through Bouygues Telecom and its stake in TF1).  </w:t>
        <w:br/>
        <w:t xml:space="preserve">2. Primonial Real Estate Investment Management (hereinafter "Primonial REIM") is a portfolio management company, a subsidiary of the Primonial group whose activities are organized around wealth management consulting, the design and management of real estate assets, the distribution of insurance products, and financial solutions. Primonial REIM conducts portfolio management activities on behalf of third parties, manages alternative investment funds, real estate investment companies, and collective real estate investment organizations in France. The Primonial group is jointly controlled by the Crédit Mutuel group and by Bridgepoint.  </w:t>
        <w:br/>
        <w:t xml:space="preserve">3. Issy Camille Desmoulins (hereinafter "the target"), established in February 2017, is exclusively owned by Bouygues Immobilier. It owns and operates for its own account a real estate asset for office and commercial use with a surface area of 29,612 m² located in Issy-les-Moulineaux (92).  </w:t>
        <w:br/>
        <w:t xml:space="preserve">4. The notified transaction, formalized by a letter of intent dated April 13, 2017, consists of the acquisition by Primonial REIM of 50% of the shares in the capital of the target and the purchase by Primonial REIM of 50% of the current account advance granted by Bouygues Immobilier to the target. Upon completion of the transaction, the main strategic decisions (appointment of the manager, budget, business plan, investments, marketing of real estate assets) will be made unanimously by the partners. Insofar as it results in the joint control of Issy Camille Desmoulins by Bouygues Immobilier and Primonial REIM, the notified transaction constitutes a concentration within the meaning of Article L. 430-1 of the Commercial Code.  </w:t>
        <w:br/>
        <w:t>5. The concerned companies together achieve a total worldwide turnover excluding taxes of more than 150 million euros (Bouygues: 31.8 billion euros for the fiscal year ending December 31, 2016; Primonial: […] euros for the same fiscal year). They achieve a turnover in France exceeding 50 million euros (Bouygues: 20 billion euros for the fiscal year ending December 31, 2016; Primonial: […] euros for the same fiscal year). Given these turnover figures, the notification thresholds of Article 1 paragraph 2 of Regulation (EC) No. 139/2004 of the Council of January 20, 2004, are met. However, since each of the concerned companies generates more than two-thirds of its turnover in the European Union in France, the transaction does not fall under the jurisdiction of the European Union. On the other hand,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 xml:space="preserve">A. THE MARKETS FOR PRODUCTS AND SERVICES  </w:t>
        <w:br/>
        <w:t xml:space="preserve">6. National and European competition authorities have considered, while leaving the question open, various segmentations in the real estate services sector, according to (i) the recipients of the services, the properties being intended either for individuals, in which case the buildings concerned are for residential use, or for businesses, in which case the buildings concerned are for commercial or professional use, (ii) the method of price determination, between free residential real estate and social or intermediate housing, the latter falling within a specific regulatory framework in which the State plays an important role, both in terms of financial aid and housing allocation, (iii) the type of activity conducted in the premises (offices, commercial premises, and other activity premises such as warehouses or hotels), and (iv) the nature of the services or goods offered.  </w:t>
        <w:br/>
        <w:t xml:space="preserve">7. For this last segmentation, the following services have been identified:  </w:t>
        <w:br/>
        <w:t xml:space="preserve">(i) real estate development, which includes construction and sale activities of real estate properties;  </w:t>
        <w:br/>
        <w:t xml:space="preserve">(ii) management of real estate assets for own account;  </w:t>
        <w:br/>
        <w:t xml:space="preserve">(iii) management of real estate assets on behalf of third parties (institutional investors, mainly banks and insurance companies), which covers consulting and management of real estate portfolios (arbitration and valuation of assets), structuring of real estate investment operations, and management of real estate assets and specialized investment vehicles (notably real estate investment companies);  </w:t>
        <w:br/>
        <w:t xml:space="preserve">(iv) property management, which covers the activities of managing buildings on behalf of owners and can be segmented between rental management and co-ownership management;  </w:t>
        <w:br/>
        <w:t xml:space="preserve">(v) real estate appraisal;  </w:t>
        <w:br/>
        <w:t xml:space="preserve">(vi) real estate consulting;  </w:t>
        <w:br/>
        <w:t xml:space="preserve">(vii) intermediation in real estate transactions, for which intermediation in purchase/sale operations is distinguished from intermediation in rental operations.  </w:t>
        <w:br/>
        <w:t xml:space="preserve">8. In this case, the parties are simultaneously active in the only market of managing real estate assets for own account.  </w:t>
        <w:br/>
        <w:t>9. The question of the exact delimitation of the markets can be left open, as the conclusions of the competitive analysis remain unchanged regardless of the delimitations retained.</w:t>
      </w:r>
    </w:p>
    <w:p>
      <w:r>
        <w:t xml:space="preserve">B. THE GEOGRAPHICAL MARKETS  </w:t>
        <w:br/>
        <w:t xml:space="preserve">10. Decision-making practice considers that the markets related to the real estate sector are of a local dimension, while leaving the question open. However, the analysis has already been conducted at the national level for real estate services aimed at businesses when operations were carried out by groups of national scope following a strategy of territorial coverage.  </w:t>
        <w:br/>
        <w:t>11. For the Île-de-France region, the Minister of Economy noted that "the Paris region has particular properties of continuity of urban areas. Indeed, there exists a</w:t>
      </w:r>
    </w:p>
    <w:p>
      <w:r>
        <w:rPr>
          <w:b/>
        </w:rPr>
        <w:t>[Pages 4–4]</w:t>
      </w:r>
    </w:p>
    <w:p>
      <w:r>
        <w:t xml:space="preserve">vast, highly urbanized, and homogeneous area covering most of Île-de-France, served by a comprehensive transport network; residents are always able to choose between different parts of the region. This substitutability leads to a convergence in pricing. Therefore, the regional level is the most appropriate for competitive analysis.  </w:t>
        <w:br/>
        <w:t xml:space="preserve">12. For other regions, the competition authorities have conducted their competitive analyses at the regional or sub-regional level. Thus, in its recent decisions, the Authority has examined the effects of transactions at the level of urban areas.  </w:t>
        <w:br/>
        <w:t xml:space="preserve">13. In this case, the activities of the parties in the real estate services sector overlap in Île-de-France.  </w:t>
        <w:br/>
        <w:t xml:space="preserve">14. However, the question of the exact geographical delimitation of the markets will be left open, with the conclusions of the competitive analysis remaining unchanged, regardless of the delimitations adopted.  </w:t>
        <w:br/>
        <w:t xml:space="preserve">III. Competitive Analysis  </w:t>
        <w:br/>
        <w:t xml:space="preserve">15. In the market for the management of real estate assets for own account, the market share of the new entity is less than [5-10]%, regardless of the segmentation adopted. The new entity will continue to compete with numerous operators of local or national scope, such as Foncière de Paris, Foncière des Régions, Icade, Unibail, or Société Foncière Lyonnaise.  </w:t>
        <w:br/>
        <w:t xml:space="preserve">16. Consequently, the transaction is not likely to harm competition in the market for the management of real estate assets for own account.  </w:t>
        <w:br/>
        <w:t xml:space="preserve">DECIDES  </w:t>
        <w:br/>
        <w:t xml:space="preserve">Single Article: The transaction notified under number 17-103 is authorized.  </w:t>
        <w:br/>
        <w:t xml:space="preserve">The President,  </w:t>
        <w:br/>
        <w:t xml:space="preserve">Isabelle de Silva  </w:t>
        <w:br/>
        <w:t xml:space="preserve">© Competition Authority  </w:t>
        <w:br/>
        <w:t xml:space="preserve">7 See decision C2006-151/ Letter from the Minister of Economy, Finance and Industry dated January 10, 2007, to the board of the Société Nationale Immobilière group, regarding a concentration in the sector of development and management of real estate portfolios primarily for residential purposes, BOCCRF No. 3 bis of March 23, 2007.  </w:t>
        <w:br/>
        <w:t>8 See the decisions of the Competition Authority No. 14-DCC-36 of March 18, 2014, regarding the exclusive control by the Carrefour group of a portfolio of 57 shopping galleries from Klépierre, No. 14-DCC-164 of November 13, 2014, regarding the exclusive control by the Carrefour group of a portfolio of six shopping galleries from Unibail-Rodamco, decision No. 14-DCC-166 of November 13, 2014, regarding the exclusive control by Klépierre SA of Corio NV, and decision No. 14-DCC-193 of December 24, 2014, regarding the joint control of a real estate complex in Nice by CDC and Immo Retail.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