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https://www.autoritedelaconcurrence.fr/fr/decision-de-controle-des-concentrations/relative-la-prise-de-controle-conjoint-de-la-societe-istrim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12-DCC-152 of October 23, 2012  </w:t>
        <w:br/>
        <w:t xml:space="preserve">regarding the joint control acquisition of the company Istrim SAS  </w:t>
        <w:br/>
        <w:t xml:space="preserve">by the companies Valtino and ITM Entreprises  </w:t>
        <w:br/>
        <w:t xml:space="preserve">The Competition Authority,  </w:t>
        <w:br/>
        <w:t xml:space="preserve">Having regard to the complete notification file submitted to the mergers department on October 2, 2012,  </w:t>
        <w:br/>
        <w:t xml:space="preserve">concerning the joint control acquisition of the company Istrim SAS by the companies ITM Entreprises  </w:t>
        <w:br/>
        <w:t xml:space="preserve">and Valtino, formalized by a share transfer agreement dated August 28, 2012, and its amendment dated August 29, 2012;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company Valtino is a holding company owned by the Valverde family and operates a business fund  </w:t>
        <w:br/>
        <w:t xml:space="preserve">of food distribution under the Intermarché brand in Saint-Christol-lès-Alès (30). The notified operation consists of the joint control acquisition of the company Istrim SAS, which operates a business fund of food distribution under the Intermarché brand with a surface area of 2,067 m² in La Grand Come (30), by the companies ITM Entreprises and Valtino. It constitutes a concentration operation within the meaning of Article L. 430-1 of the Commercial Code. Given the turnover achieved by the companies involved, the operation does not have a community dimension. However, the control thresholds related to retail trade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12-164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