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https://www.autoritedelaconcurrence.fr/fr/decision-de-controle-des-concentrations/relative-la-prise-de-controle-conjoint-de-la-societe-it-am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26-DCC-143 of July 2, 2026  </w:t>
        <w:br/>
        <w:t xml:space="preserve">regarding the joint control acquisition of the company ITAM Distribution  </w:t>
        <w:br/>
        <w:t xml:space="preserve">by the companies Sefquin Groupe and ITM Entreprises  </w:t>
        <w:br/>
        <w:t>The Competition Authority,</w:t>
      </w:r>
    </w:p>
    <w:p>
      <w:r>
        <w:t xml:space="preserve">Having regard to the complete notification file submitted to the mergers department on June 10, 2026,  </w:t>
        <w:br/>
        <w:t xml:space="preserve">concerning the joint control acquisition of the company ITAM Distribution by the company Sefquin  </w:t>
        <w:br/>
        <w:t>Groupe alongside the company ITM Entreprises, formalized by a transfer protocol dated May 27, 2026;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acquisition, by the company Sefquin Groupe, of almost all  </w:t>
        <w:br/>
        <w:t xml:space="preserve">the shares of the company ITAM Distribution, with ITM Entreprises retaining a preferred share  </w:t>
        <w:br/>
        <w:t xml:space="preserve">in the latter. The company ITAM Distribution operates a business under the Intermarché brand  </w:t>
        <w:br/>
        <w:t xml:space="preserve">with a sales area of 2,926 m² in Tarascon (13). The operation constitutes a concentration  </w:t>
        <w:br/>
        <w:t xml:space="preserve">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competence of the European Union. On the other hand, the retail control thresholds mentioned in II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26-135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