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https://www.autoritedelaconcurrence.fr/fr/decision-de-controle-des-concentrations/relative-la-prise-de-controle-conjoint-de-la-societe-jean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18-DCC-123 of July 25, 2018  </w:t>
        <w:br/>
        <w:t xml:space="preserve">regarding the joint control acquisition of the company Jean de Paris by the  </w:t>
        <w:br/>
        <w:t>company ITM Entreprises and the company Chanstel</w:t>
      </w:r>
    </w:p>
    <w:p>
      <w:r>
        <w:t>The Competition Authority,</w:t>
      </w:r>
    </w:p>
    <w:p>
      <w:r>
        <w:t xml:space="preserve">Having regard to the complete notification file sent to the mergers department on June 26, 2018,  </w:t>
        <w:br/>
        <w:t xml:space="preserve">concerning the joint control acquisition of the company Jean de Paris by the company ITM Entreprises  </w:t>
        <w:br/>
        <w:t xml:space="preserve">and the company Chanstel, and formalized by a share transfer agreement dated  </w:t>
        <w:br/>
        <w:t>May 23,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parties during the investigation;</w:t>
      </w:r>
    </w:p>
    <w:p>
      <w:r>
        <w:t>Adopts the following decision:</w:t>
      </w:r>
    </w:p>
    <w:p>
      <w:r>
        <w:t xml:space="preserve">1. The notified operation consists of the joint control acquisition by the company ITM Entreprises and  </w:t>
        <w:br/>
        <w:t xml:space="preserve">the company Chanstel of the company Jean de Paris, which operates a predominantly food retail outlet  </w:t>
        <w:br/>
        <w:t xml:space="preserve">of hypermarket type with a surface area of 3,500 m², under the Intermarché brand, located in  </w:t>
        <w:br/>
        <w:t xml:space="preserve">Ambérieu-en-Bugey (01). It constitutes a concentration operation within the meaning of Article  </w:t>
        <w:br/>
        <w:t xml:space="preserve">L. 430-1 of the Commercial Code. Given the turnover achieved by the companies involved, the operation  </w:t>
        <w:br/>
        <w:t xml:space="preserve">does not fall under the jurisdiction of the European Union. On the other hand,  </w:t>
        <w:br/>
        <w:t xml:space="preserve">the retail control thresholds mentioned in point II of Article  </w:t>
        <w:br/>
        <w:t xml:space="preserve">L. 430-2 of the Commercial Code are exceeded. This operation is therefore subject to the  </w:t>
        <w:br/>
        <w:t>provisions of Articles L. 430-3 and following of the Commercial Code relating to economic concentration.</w:t>
      </w:r>
    </w:p>
    <w:p>
      <w:r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18-137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