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https://www.autoritedelaconcurrence.fr/fr/decision-de-controle-des-concentrations/relative-la-prise-de-controle-conjoint-de-la-societe-jeanre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24-DCC-239 of November 15, 2024</w:t>
        <w:br/>
        <w:t>regarding the joint control acquisition of the company Jeanre by the</w:t>
        <w:br/>
        <w:t>companies Viloma and Rebot alongside the company ITM Entreprises</w:t>
        <w:br/>
        <w:t>The Competition Authority,</w:t>
        <w:br/>
        <w:t>Having regard to the notification file sent to the mergers department on October 29, 2024, declared</w:t>
        <w:br/>
        <w:t>complete on November 6, 2024, concerning the joint control acquisition of the company Jeanre by the</w:t>
        <w:br/>
        <w:t>companies Viloma and Rebot alongside the company ITM Entreprises, formalized by a letter</w:t>
        <w:br/>
        <w:t>of intent signed on March 25 and 26, 2024, as well as an amendment to this letter of intent, signed</w:t>
        <w:br/>
        <w:t>on October 28, 2024;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 by the companies Viloma and Rebot of the entire</w:t>
        <w:br/>
        <w:t>capital of the company Jeanre, with ITM Entreprises retaining a preferred share. The company</w:t>
        <w:br/>
        <w:t>Jeanre operates a retail business primarily focused on food with a surface area of</w:t>
        <w:br/>
        <w:t>1,700 m², under the brand Intermarché*, located in Limoges (87). The operation constitutes a</w:t>
        <w:br/>
        <w:t>concentration within the meaning of Article L. 430-1 of the Commercial Code. Given the turnover</w:t>
        <w:br/>
        <w:t>achieved by the companies concerned, the operation does not fall under the jurisdiction of</w:t>
        <w:br/>
        <w:t>the European Union. On the other hand, the control thresholds mentioned in II of Article L. 430-2</w:t>
        <w:br/>
        <w:t>of the Commercial Code are exceeded. This operation is therefore subject to the provisions</w:t>
        <w:br/>
        <w:t>of Articles L. 430-3 and following of the Commercial Code relating to economic concentration.</w:t>
        <w:br/>
        <w:t>2. In light of the elements of the file, the operation is not likely to harm competition</w:t>
        <w:br/>
        <w:t>in the relevant markets.</w:t>
        <w:br/>
        <w:t>* Correction of material error</w:t>
      </w:r>
    </w:p>
    <w:p>
      <w:r>
        <w:t>DECIDES</w:t>
        <w:br/>
        <w:t>Sole Article: The operation notified under number 24-277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