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https://www.autoritedelaconcurrence.fr/fr/decision-de-controle-des-concentrations/relative-la-prise-de-controle-conjoint-de-la-societe-jogati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20-DCC-186 of December 9, 2020  </w:t>
        <w:br/>
        <w:t xml:space="preserve">regarding the joint control acquisition of the company Jogati by the company  </w:t>
        <w:br/>
        <w:t xml:space="preserve">Majeoc and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19, 2020, concerning the joint control acquisition of the company Jogati by the companies  </w:t>
        <w:br/>
        <w:t xml:space="preserve">Majeoc and ITM Entreprises, formalized by a share transfer agreement dated  </w:t>
        <w:br/>
        <w:t xml:space="preserve">November 17,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Majeoc and ITM  </w:t>
        <w:br/>
        <w:t xml:space="preserve">Entreprises of the company Jogati, which operates a food-dominant retail outlet of  </w:t>
        <w:br/>
        <w:t xml:space="preserve">supermarket type under the Intermarché brand with a surface area of 2,154 m² in Vic Fezensac (32).  </w:t>
        <w:br/>
        <w:t xml:space="preserve">It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20-242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