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https://www.autoritedelaconcurrence.fr/fr/decision-de-controle-des-concentrations/relative-la-prise-de-controle-conjoint-de-la-societe-jp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23-DCC-86 of May 11, 2023  </w:t>
        <w:br/>
        <w:t xml:space="preserve">regarding the joint control acquisition of the company JP Energie  </w:t>
        <w:br/>
        <w:t xml:space="preserve">Environnement by the Caisse des Dépôts et Consignations and the company  </w:t>
        <w:br/>
        <w:t xml:space="preserve">Nass Expansion  </w:t>
        <w:br/>
        <w:t xml:space="preserve">The Competition Authority,  </w:t>
        <w:br/>
        <w:t xml:space="preserve">Having regard to the complete notification file submitted to the mergers department on April 24, 2023,  </w:t>
        <w:br/>
        <w:t xml:space="preserve">concerning the joint control acquisition of the company JP Energie Environnement by the Caisse des  </w:t>
        <w:br/>
        <w:t xml:space="preserve">Dépôts et Consignations and the company Nass Expansion, formalized by the investment protocol signed between the parties on April 25,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JP Energie  </w:t>
        <w:br/>
        <w:t xml:space="preserve">Environnement by the Caisse des Dépôts et Consignation and the company Nass Expansion. The  </w:t>
        <w:br/>
        <w:t xml:space="preserve">company JP Energie Environnement is active in the energy sector. It constitutes a  </w:t>
        <w:br/>
        <w:t xml:space="preserve">concentration operation within the meaning of Article L. 430-1 of the Commercial Code. Given the  </w:t>
        <w:br/>
        <w:t xml:space="preserve">turnover achieved by the companies concerned, the operation does not fall under the  </w:t>
        <w:br/>
        <w:t xml:space="preserve">jurisdiction of the European Union. On the other hand, the control thresholds mentioned in I of  </w:t>
        <w:br/>
        <w:t xml:space="preserve">Article L. 430-2 of the Commercial Code are exceeded. This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23-050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