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https://www.autoritedelaconcurrence.fr/fr/decision-de-controle-des-concentrations/relative-la-prise-de-controle-conjoint-de-la-societe-k423</w:t>
      </w:r>
    </w:p>
    <w:p>
      <w:r>
        <w:t>Pages translated : 2</w:t>
      </w:r>
    </w:p>
    <w:p/>
    <w:p>
      <w:r>
        <w:rPr>
          <w:b/>
        </w:rPr>
        <w:t>[Pages 1–2]</w:t>
      </w:r>
    </w:p>
    <w:p>
      <w:r>
        <w:t xml:space="preserve">FRENCH REPUBLIC  </w:t>
        <w:br/>
        <w:t xml:space="preserve">Decision No. 25-DCC-192 of August 20, 2025  </w:t>
        <w:br/>
        <w:t xml:space="preserve">regarding the joint control acquisition of company K423 by  </w:t>
        <w:br/>
        <w:t xml:space="preserve">SCV Master Holding Company, NAB Ventures PTY, and  </w:t>
        <w:br/>
        <w:t xml:space="preserve">Natwest Strategic Investments  </w:t>
        <w:br/>
        <w:t xml:space="preserve">The Competition Authority,  </w:t>
        <w:br/>
        <w:t xml:space="preserve">Having regard to the complete notification file submitted to the mergers department on August 1, 2025,  </w:t>
        <w:br/>
        <w:t xml:space="preserve">concerning the joint control acquisition of company K423 by SCV Master Holding Company, NAB Ventures PTY, and Natwest Strategic Investments, formalized by a subscription agreement and a share purchase agreement signed on June 19,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shares in K423 Limited, currently jointly controlled by NAB Ventures PTY Limited and Natwest Strategic Investments Limited, by SCV Master Holding Company PTE. LTD. Following the operation, K423 will be jointly controlled by these three main shareholders. K423 is a smart action platform that transparently connects business organizations and their networks of small and medium-sized enterprise value chains in order to manage their decarbonization initiatives. This platform is specifically designed to help SMEs collect, manage, and understand their greenhouse gas emissions data and share it, with their consent, with the relevant banks and large companies that need access to this data to comply with the Non-Financial Reporting Directive (CSRD) and other standards. The operation constitutes a concentration within the meaning of Article L. 430-1 of the Commercial Code.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1 There is a fourth shareholder, the company K+C, which does not exert decisive influence over company K23.</w:t>
      </w:r>
    </w:p>
    <w:p>
      <w:r>
        <w:t xml:space="preserve">2. In light of the elements of the file, the operation is not likely to harm competition in the relevant markets.  </w:t>
        <w:br/>
        <w:t xml:space="preserve">DECIDES  </w:t>
        <w:br/>
        <w:t xml:space="preserve">Sole Article: The operation notified under number 25-183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