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https://www.autoritedelaconcurrence.fr/fr/decision-de-controle-des-concentrations/relative-la-prise-de-controle-conjoint-de-la-societe-kerlor</w:t>
      </w:r>
    </w:p>
    <w:p>
      <w:r>
        <w:t>Pages translated : 2</w:t>
      </w:r>
    </w:p>
    <w:p/>
    <w:p>
      <w:r>
        <w:rPr>
          <w:b/>
        </w:rPr>
        <w:t>[Pages 1–2]</w:t>
      </w:r>
    </w:p>
    <w:p>
      <w:r>
        <w:t xml:space="preserve">FRENCH REPUBLIC  </w:t>
        <w:br/>
        <w:t xml:space="preserve">Decision No. 22-DCC-46 of March 29, 2022  </w:t>
        <w:br/>
        <w:t xml:space="preserve">regarding the joint control acquisition of the company Kerlor by the  </w:t>
        <w:br/>
        <w:t xml:space="preserve">companies ITM Entreprises and Kermer  </w:t>
        <w:br/>
        <w:t xml:space="preserve">The Competition Authority,  </w:t>
        <w:br/>
        <w:t xml:space="preserve">Having regard to the notification file sent complete to the mergers department on March 11, 2022,  </w:t>
        <w:br/>
        <w:t xml:space="preserve">concerning the joint control acquisition of the company Kerlor by the companies ITM Entreprises and  </w:t>
        <w:br/>
        <w:t xml:space="preserve">Kermer, formalized by a share transfer agreement dated March 4, 2022;  </w:t>
        <w:br/>
        <w:t xml:space="preserve">Having regard to Book IV of the Commercial Code relating to the freedom of prices and competition, and  </w:t>
        <w:br/>
        <w:t xml:space="preserve">notably its Articles L. 430-1 to L. 430-7;  </w:t>
        <w:br/>
        <w:t xml:space="preserve">Having regard to the elements transmitted by the notifying party during the investigation;  </w:t>
        <w:br/>
        <w:t xml:space="preserve">Adopts the following decision:  </w:t>
        <w:br/>
        <w:t xml:space="preserve">1. The notified operation consists of the joint control acquisition by the companies ITM Entreprises  </w:t>
        <w:br/>
        <w:t xml:space="preserve">and Kermer of the company Kerlor which operates a retail business primarily in food of a supermarket type with an area of 2,200 m² under the Intermarché brand located in Lorient (56). It constitutes a concentration operation within the meaning of Article L. 430-1 of the Commercial Code. Given the turnover achieved by the companies concerned, the operation does not fall under the jurisdiction of the European Union. On the other hand, the control thresholds related to retail trade mentioned in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22-063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