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https://www.autoritedelaconcurrence.fr/fr/decision-de-controle-des-concentrations/relative-la-prise-de-controle-conjoint-de-la-societe-khimod</w:t>
      </w:r>
    </w:p>
    <w:p>
      <w:r>
        <w:t>Pages translated : 2</w:t>
      </w:r>
    </w:p>
    <w:p/>
    <w:p>
      <w:r>
        <w:rPr>
          <w:b/>
        </w:rPr>
        <w:t>[Pages 1–2]</w:t>
      </w:r>
    </w:p>
    <w:p>
      <w:r>
        <w:t xml:space="preserve">FRENCH REPUBLIC  </w:t>
        <w:br/>
        <w:t xml:space="preserve">Decision No. 25-DCC-140 of June 18, 2025  </w:t>
        <w:br/>
        <w:t xml:space="preserve">regarding the joint control acquisition of the company Khimod by  </w:t>
        <w:br/>
        <w:t xml:space="preserve">Bpifrance Investissement and the company Alcen  </w:t>
        <w:br/>
        <w:t xml:space="preserve">The Competition Authority,  </w:t>
        <w:br/>
        <w:t xml:space="preserve">Having regard to the complete notification file submitted to the mergers department on May 12, 2025,  </w:t>
        <w:br/>
        <w:t xml:space="preserve">concerning the joint control acquisition of the company Khimod by Bpifrance Investissement and the  </w:t>
        <w:br/>
        <w:t xml:space="preserve">company Alcen, formalized by an investment protocol signed on April 18,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Khimod by Alcen and  </w:t>
        <w:br/>
        <w:t xml:space="preserve">Bpifrance (which is itself indirectly controlled by the Caisse des dépôts et consignations). The company Khimod is primarily active in the field of manufacturing and marketing catalytic converters for the production of synthetic fuels and fine chemical products. This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25-115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