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https://www.autoritedelaconcurrence.fr/fr/decision-de-controle-des-concentrations/relative-la-prise-de-controle-conjoint-de-la-societe-la-vie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26-DCC-68 of March 16, 2026  </w:t>
        <w:br/>
        <w:t xml:space="preserve">regarding the joint control acquisition of the company La Vie Claire by  </w:t>
        <w:br/>
        <w:t xml:space="preserve">the companies Crédit Mutuel Equity and Famille Pelen &amp; Cie  </w:t>
        <w:br/>
        <w:t xml:space="preserve">The Competition Authority,  </w:t>
        <w:br/>
        <w:t xml:space="preserve">Having regard to the complete notification file submitted to the mergers department on February 26, 2026,  </w:t>
        <w:br/>
        <w:t xml:space="preserve">concerning the joint control acquisition of the company La Vie Claire by the companies Crédit Mutuel  </w:t>
        <w:br/>
        <w:t xml:space="preserve">Equity and Famille Pelen &amp; Cie, formalized by the signing of an investment protocol on February 25,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Crédit Mutuel  </w:t>
        <w:br/>
        <w:t xml:space="preserve">Equity and Famille Pelen &amp; Cie of the company La Vie Claire, primarily active in the sector  </w:t>
        <w:br/>
        <w:t xml:space="preserve">of the distribution of organic products.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control thresholds mentioned in II of Article L. 430-2 of the Commercial Code  </w:t>
        <w:br/>
        <w:t xml:space="preserve">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26-035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