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https://www.autoritedelaconcurrence.fr/fr/decision-de-controle-des-concentrations/relative-la-prise-de-controle-conjoint-de-la-societe-lary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16-DCC-182 of November 29, 2016  </w:t>
        <w:br/>
        <w:t xml:space="preserve">regarding the joint control acquisition of the company Lary by the company  </w:t>
        <w:br/>
        <w:t xml:space="preserve">Thoronilf and ITM Entreprises  </w:t>
        <w:br/>
        <w:t xml:space="preserve">The Competition Authority,  </w:t>
        <w:br/>
        <w:t xml:space="preserve">Having regard to the complete notification file submitted to the mergers department on October 26, 2016,  </w:t>
        <w:br/>
        <w:t xml:space="preserve">concerning the joint control acquisition of the company Lary by the company Thoronilf alongside ITM  </w:t>
        <w:br/>
        <w:t xml:space="preserve">Entreprises, formalized by a transfer protocol dated October 24,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Thoronilf alongside  </w:t>
        <w:br/>
        <w:t xml:space="preserve">ITM Entreprises of the company Lary, which operates a predominantly food retail outlet under the  </w:t>
        <w:br/>
        <w:t xml:space="preserve">Intermarché brand in the city of Oullins (69). This operation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retail trade control thresholds mentioned in point II of Article L. 430-2 of the  </w:t>
        <w:br/>
        <w:t xml:space="preserve">Commercial Code are exceeded. This operation is therefore subject to the provisions of Articles L.  </w:t>
        <w:br/>
        <w:t xml:space="preserve">430-3 and 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16-225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