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https://www.autoritedelaconcurrence.fr/fr/decision-de-controle-des-concentrations/relative-la-prise-de-controle-conjoint-de-la-societe-laucel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13-DCC-167 of November 18, 2013  </w:t>
        <w:br/>
        <w:t xml:space="preserve">regarding the joint control acquisition of the company Laucel  </w:t>
        <w:br/>
        <w:t xml:space="preserve">by the company ITM Entreprises and the company Junicya  </w:t>
        <w:br/>
        <w:t xml:space="preserve">The Competition Authority,  </w:t>
        <w:br/>
        <w:t xml:space="preserve">Having regard to the complete notification file sent to the mergers department on October 24, 2013,  </w:t>
        <w:br/>
        <w:t xml:space="preserve">concerning the joint control acquisition of the company Laucel by the companies ITM Entreprises  </w:t>
        <w:br/>
        <w:t xml:space="preserve">and Junicya, materialized by a draft of statutes dated October 30,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Laucel, operating  </w:t>
        <w:br/>
        <w:t xml:space="preserve">a predominantly food distribution business, under the Intermarché brand,  </w:t>
        <w:br/>
        <w:t xml:space="preserve">with a surface area of 2,000 m2, located in the city of Auxonne (21), by the company ITM Entreprises  </w:t>
        <w:br/>
        <w:t xml:space="preserve">alongside the company Junicya, the latter already operating, via the company Magesco, a  </w:t>
        <w:br/>
        <w:t xml:space="preserve">point of sale under the Intermarché brand in the city of Saint Usage (21).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The present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13-196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