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https://www.autoritedelaconcurrence.fr/fr/decision-de-controle-des-concentrations/relative-la-prise-de-controle-conjoint-de-la-societe-le-1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23-DCC-147 of July 20, 2023  </w:t>
        <w:br/>
        <w:t xml:space="preserve">regarding the joint control acquisition of the company Le Mans Sud Auto  </w:t>
        <w:br/>
        <w:t xml:space="preserve">by the companies Sofimad and CDA Motors  </w:t>
        <w:br/>
        <w:t xml:space="preserve">The Competition Authority,  </w:t>
        <w:br/>
        <w:t xml:space="preserve">Having regard to the notification file submitted complete to the mergers department on June 30, 2023,  </w:t>
        <w:br/>
        <w:t xml:space="preserve">concerning the joint control acquisition by the company Sofimad, through the company  </w:t>
        <w:br/>
        <w:t xml:space="preserve">Amplitude Investissements, and the company CDA Motors, of the company Le Mans Sud Auto,  </w:t>
        <w:br/>
        <w:t xml:space="preserve">formalized by a share transfer agreement dated June 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Le Mans Sud Auto,  </w:t>
        <w:br/>
        <w:t xml:space="preserve">active in the automotive distribution sector, by the company Sofimad and the company CDA  </w:t>
        <w:br/>
        <w:t xml:space="preserve">Motors, both active in this sector. It constitutes a concentration operation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retail trade  </w:t>
        <w:br/>
        <w:t xml:space="preserve">control thresholds 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concerned markets.</w:t>
      </w:r>
    </w:p>
    <w:p>
      <w:r>
        <w:t xml:space="preserve">DECIDES  </w:t>
        <w:br/>
        <w:t xml:space="preserve">Sole Article: The operation notified under number 23-176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