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https://www.autoritedelaconcurrence.fr/fr/decision-de-controle-des-concentrations/relative-la-prise-de-controle-conjoint-de-la-societe-les-0</w:t>
      </w:r>
    </w:p>
    <w:p>
      <w:r>
        <w:t>Pages translated : 2</w:t>
      </w:r>
    </w:p>
    <w:p/>
    <w:p>
      <w:r>
        <w:rPr>
          <w:b/>
        </w:rPr>
        <w:t>[Pages 1–2]</w:t>
      </w:r>
    </w:p>
    <w:p>
      <w:r>
        <w:t xml:space="preserve">FRENCH REPUBLIC  </w:t>
        <w:br/>
        <w:t xml:space="preserve">Decision No. 16-DCC-37 of March 10, 2016  </w:t>
        <w:br/>
        <w:t xml:space="preserve">concerning the joint control of the company Les Petits Chaperons Rouges by the company Eurazeo alongside the company Athina Conseil  </w:t>
        <w:br/>
        <w:t xml:space="preserve">The Competition Authority,  </w:t>
        <w:br/>
        <w:t xml:space="preserve">Having regard to the complete notification file sent to the mergers department on February 8, 2016, concerning the joint control of the company Les Petits Chaperons Rouges by the company Eurazeo alongside the company Athina Conseil, formalized by an acquisition offer accepted on January 29,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of the company Les Petits Chaperons Rouges, active in the sector of creation, animation, and management of nurseries, by the investment fund Eurazeo, alongside the company Athina Conseil. This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16-028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