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https://www.autoritedelaconcurrence.fr/fr/decision-de-controle-des-concentrations/relative-la-prise-de-controle-conjoint-de-la-societe-libre</w:t>
      </w:r>
    </w:p>
    <w:p>
      <w:r>
        <w:t>Pages translated : 2</w:t>
      </w:r>
    </w:p>
    <w:p/>
    <w:p>
      <w:r>
        <w:rPr>
          <w:b/>
        </w:rPr>
        <w:t>[Pages 1–2]</w:t>
      </w:r>
    </w:p>
    <w:p>
      <w:r>
        <w:t xml:space="preserve">FRENCH REPUBLIC  </w:t>
        <w:br/>
        <w:t xml:space="preserve">Decision No. 16-DCC-112 of July 21, 2016  </w:t>
        <w:br/>
        <w:t xml:space="preserve">regarding the joint control acquisition of the company Libre Service Les Marronniers by Jovimaric and ITM Entreprises  </w:t>
        <w:br/>
        <w:t xml:space="preserve">The Competition Authority,  </w:t>
        <w:br/>
        <w:t xml:space="preserve">Having regard to the complete notification file submitted to the mergers department on June 28, 2016, concerning the joint control acquisition of the company Libre Service Les Marronniers by the company Jovimaric and the company ITM Entreprises, formalized by a letter of intent dated April 29,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Libre Service Les Marronniers which operates a food-dominant retail outlet under the Intermarché brand in Isle-sur-le-Doubs (25), by the company Jovimaric and the company ITM Entreprises.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16-122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