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https://www.autoritedelaconcurrence.fr/fr/decision-de-controle-des-concentrations/relative-la-prise-de-controle-conjoint-de-la-societe-lilone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11-DCC-197 of December 13, 2011  </w:t>
        <w:br/>
        <w:t xml:space="preserve">regarding the joint control acquisition of the company Lilone by the  </w:t>
        <w:br/>
        <w:t xml:space="preserve">companies Sifor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22, 2011, concerning the joint control acquisition of the company Lilone by the companies  </w:t>
        <w:br/>
        <w:t xml:space="preserve">Sifor and ITM Entreprises, formalized by a contract dated October 10,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Lilone, operating  </w:t>
        <w:br/>
        <w:t xml:space="preserve">a predominantly food distribution business, under the Intermarché brand,  </w:t>
        <w:br/>
        <w:t xml:space="preserve">with a surface area of 2,463 m² and located in the city of Pollestres (66), by the company Sifor,  </w:t>
        <w:br/>
        <w:t xml:space="preserve">belonging to the Forel consortium, alongside ITM Entreprises.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have a community dimension. However, the retail control  </w:t>
        <w:br/>
        <w:t xml:space="preserve">thresholds 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11-227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