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https://www.autoritedelaconcurrence.fr/fr/decision-de-controle-des-concentrations/relative-la-prise-de-controle-conjoint-de-la-societe-lntp</w:t>
      </w:r>
    </w:p>
    <w:p>
      <w:r>
        <w:t>Pages translated : 8</w:t>
      </w:r>
    </w:p>
    <w:p/>
    <w:p>
      <w:r>
        <w:rPr>
          <w:b/>
        </w:rPr>
        <w:t>[Pages 1–3]</w:t>
      </w:r>
    </w:p>
    <w:p>
      <w:r>
        <w:t xml:space="preserve">FRENCH REPUBLIC  </w:t>
        <w:br/>
        <w:t xml:space="preserve">Decision No. 11-DCC-66 of May 3, 2011  </w:t>
        <w:br/>
        <w:t>regarding the joint control of the company LNTP by the Queguiner and VM Matériaux groups</w:t>
      </w:r>
    </w:p>
    <w:p>
      <w:r>
        <w:t xml:space="preserve">The Competition Authority,  </w:t>
        <w:br/>
        <w:t xml:space="preserve">Having regard to the notification file sent to the concentrations service on November 29, 2010, and declared complete on March 28, 2011, regarding the joint control of the company LNTP by the Queguiner and VM Matériaux groups, formalized by a decision of the general assembly of Financière LNBTP and a draft shareholder agreement between Celtramat and Financière VM Distribution;  </w:t>
        <w:br/>
        <w:t xml:space="preserve">Having regard to Book IV of the Commercial Code relating to price freedom and competition, and in particular its Articles L.430-1 to L.430-7;  </w:t>
        <w:br/>
        <w:t xml:space="preserve">Having regard to the supplementary elements transmitted by the parties during the investigation;  </w:t>
        <w:br/>
        <w:t>Adopts the following decision:</w:t>
      </w:r>
    </w:p>
    <w:p>
      <w:r>
        <w:t xml:space="preserve">I. The concerned companies and the operation  </w:t>
        <w:br/>
        <w:t xml:space="preserve">1. The Queguiner group, active in the sector of construction materials trading and products for building construction and renovation, is present in the four departments of the Brittany region (Côtes-d'Armor (22), Finistère (29), Ille-et-Vilaine (35), and Morbihan (56)). It is controlled by Mr. Claude Queguiner.  </w:t>
        <w:br/>
        <w:t xml:space="preserve">2. VM Matériaux is a family group whose main activity is the trading of construction materials and products for building construction and renovation, mainly in the regions of Pays de la Loire, Poitou Charente, and Normandy, as well as in northern Aquitaine and eastern Centre and Limousin regions. The company VM Matériaux, the parent company of the group, holds, through its subsidiary Financière VM Distribution, 100% of the share capital of the simplified joint-stock company Financière LNBTP (hereinafter "Financière LNBTP"), which itself holds 70% of the share capital of the simplified joint-stock company Le Négoce des Travaux Publics (hereinafter "LNTP").  </w:t>
        <w:br/>
        <w:t xml:space="preserve">3. LNTP distributes, to a clientele mainly composed of professionals, public works materials, through two agencies located in Saint-Herblain (Loire-Atlantique, 44) and Vannes (Morbihan, 56). LNTP also holds the limited liability company Le Négoce des Travaux Publics Rennes (hereinafter "LNTP Rennes"), active in the same sector through an agency located in Saint-Jacques-de-la-Lande (Ille-et-Vilaine, 35).  </w:t>
        <w:br/>
        <w:t xml:space="preserve">4. The operation consists of the acquisition by the Queguiner group, via its subsidiary Celtramat, of 50% of the capital and voting rights of Financière LNBTP. Pursuant to a draft shareholder agreement between Celtramat and Financière VM Distribution, Financière LNBTP will have a management committee composed equally by the two shareholders, whose unanimous decision will be necessary for a set of strategic decisions.  </w:t>
        <w:br/>
        <w:t xml:space="preserve">5. In that it results in a joint control of Financière LNBTP and its subsidiaries by the Queguiner and VM Distribution groups, the notified operation constitutes a concentration operation within the meaning of Article L.430-1 of the Commercial Code.  </w:t>
        <w:br/>
        <w:t>6. The concerned companies together achieve a total worldwide turnover of more than 150 million euros (Queguiner group: […] million euros for the fiscal year ending December 31, 2010; VM Matériaux group: […] million euros for the same year). Each achieves, in France, a turnover exceeding 50 million euros (Queguiner group: […] million euros for the fiscal year ending December 31, 2010*; VM Matériaux group: […] million euros for the same year).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7. The Queguiner and VM Matériaux groups are both active in the construction materials trading sector (or "BTP"). Their joint subsidiary, LNTP, will be more particularly specialized in materials for public works. They are present upstream as buyers of materials from manufacturers and downstream as sellers.  </w:t>
        <w:br/>
        <w:t>* Material error corrected.</w:t>
      </w:r>
    </w:p>
    <w:p>
      <w:r>
        <w:t xml:space="preserve">A. DELIMITATION OF PRODUCT AND SERVICE MARKETS  </w:t>
        <w:br/>
        <w:t xml:space="preserve">1. UPSTREAM MARKETS FOR THE SUPPLY OF CONSTRUCTION MATERIALS  </w:t>
        <w:br/>
        <w:t xml:space="preserve">8. In terms of the supply of construction materials (or "BTP"), decision-making practice distinguishes as many markets as there are product families1 (notably building and public works), each having its own characteristics2. The structure of supply, pricing dynamics, and manufacturing constraints can indeed vary significantly from one product family to another3.  </w:t>
        <w:br/>
        <w:t>9. Decision-making practice has considered the existence of a finer segmentation within the market for public works materials corresponding to road materials, sewer pipes, or slabs and paving stones4. The question of a segmentation of the public works materials supply market can, however, be left open in this case insofar as, regardless of the delimitation retained, the conclusions of the competitive analysis will remain unchanged.</w:t>
      </w:r>
    </w:p>
    <w:p>
      <w:r>
        <w:t xml:space="preserve">2. DOWNSTREAM MARKETS FOR THE TRADING OF CONSTRUCTION MATERIALS  </w:t>
        <w:br/>
        <w:t xml:space="preserve">10. Decision-making practice, both community and national, defines the trading of construction materials (or "BTP") as "a traditional activity by which traders sell from stock all the materials necessary for building companies"5. This activity consists of wholesaling a wide assortment of materials that, although not substitutable for one another, are nevertheless necessary and often associated to carry out a construction project6.  </w:t>
        <w:br/>
        <w:t xml:space="preserve">11. The materials thus marketed are primarily intended for professionals, which implies specificities in the organization of product distribution (larger stocks, payment terms, few take-away sales, etc.) as well as in the breadth and depth of the ranges of materials offered7. This market thus differs from the  </w:t>
        <w:br/>
        <w:t xml:space="preserve">1 See for example the letters from the Minister of Economy dated December 24, 2003, to the boards of the company Point P SA regarding a concentration in the construction materials sector; dated March 13, 2006, to the boards of the company Wolseley, regarding a concentration in the construction materials sector. See also the decisions of the Competition Authority No. 09-DCC-11 of June 2, 2009, regarding the exclusive control of the company FDE by the SAMSE group and No. 10-DCC-03 of January 12, 2010, regarding the control of the MAFART group by the SNCS company (ACCUEIL group).  </w:t>
        <w:br/>
        <w:t xml:space="preserve">2 Letter from the Minister dated September 5, 2002.  </w:t>
        <w:br/>
        <w:t xml:space="preserve">3 Decision No. 10-DCC-03 of January 12, 2010.  </w:t>
        <w:br/>
        <w:t xml:space="preserve">4 Letters from the Minister dated November 7, 2002, and October 1, 2003.  </w:t>
        <w:br/>
        <w:t xml:space="preserve">5 Decisions of the European Commission of August 5, 1994, No. IV/M.486 Holdercim / Origny – Desvroises or December 10, 2003, No. COMP/M.3313 CRH / Samse / Doras. Decisions No. 09-DCC-11 and No. 10-DCC-03.  </w:t>
        <w:br/>
        <w:t xml:space="preserve">6 Letters from the Minister dated September 5, 2002, or January 24, 2007, to the boards of the company AXA IMPEE regarding a concentration in the real estate sector.  </w:t>
        <w:br/>
        <w:t>7 Letters from the Minister dated September 5, 2002, or Decision No. 10-DCC-03.</w:t>
      </w:r>
    </w:p>
    <w:p>
      <w:r>
        <w:rPr>
          <w:b/>
        </w:rPr>
        <w:t>[Pages 4–6]</w:t>
      </w:r>
    </w:p>
    <w:p>
      <w:r>
        <w:t>distribution of DIY materials, insofar as the traders' offer addresses a specific demand. In this case, the parties have a clientele mainly composed of public works companies active notably in plumbing, structural work, pipelines, and road terraces.</w:t>
      </w:r>
    </w:p>
    <w:p>
      <w:r>
        <w:t>12. Within the construction materials trading market, decision-making practice has established a distinction between "generalist" and "specialist" traders, based on the depth of the range of materials distributed. Thus, the offer of "generalist" traders covers a complete assortment of product ranges. "Specialist" traders, whose offer is centered on a product family, offer deeper ranges and more advanced expertise on specific product lines. Therefore, even if generalist and specialist points of sale may be very close geographically, they are only very imperfectly substitutable.</w:t>
      </w:r>
    </w:p>
    <w:p>
      <w:r>
        <w:t>13. Decision-making practice has also distinguished sub-segments according to the specialization of traders. In this regard, it has studied the segments of the building materials trading sector, such as the trading of roofing, insulation, and roofing materials, interior fittings, and industrial insulation. The existence of a segment for public works materials trading has also been considered. Indeed, in terms of public works, the demand comes from a particular category, namely companies operating on public works sites. These companies carry out work that connects constructed buildings to networks (water supply, electricity, sanitation, for example) and equips public infrastructures (roads, sidewalks, canals, pipelines, railways, bridges in particular). These works require specific techniques and tools that are unique to them. Public works companies are also subject to a specific legal regime governed by the public procurement code. Furthermore, the distribution of public works materials is subject to specific constraints in the sector such as the duration of construction sites, the need to respond quickly to localized demand, and the influence of the local public spending cycle. Companies in the sector thus find the necessary depth of range for their activity by primarily addressing specialized distributors. These specificities have indeed led the main distributors to create specialized brands, such as Point P Travaux Publics, within the Saint-Gobain group.</w:t>
      </w:r>
    </w:p>
    <w:p>
      <w:r>
        <w:t>14. Consequently, the effects of the operation will be primarily analyzed on a global market for construction materials trading as well as on the segment of specialized public works materials traders.</w:t>
      </w:r>
    </w:p>
    <w:p>
      <w:r>
        <w:t>B. DELIMITATION OF GEOGRAPHICAL MARKETS</w:t>
      </w:r>
    </w:p>
    <w:p>
      <w:r>
        <w:t>1. UPSTREAM MARKETS FOR THE SUPPLY OF CONSTRUCTION MATERIALS</w:t>
      </w:r>
    </w:p>
    <w:p>
      <w:r>
        <w:t>15. Regarding the markets for the supply of construction materials, decision-making practice retains, at a minimum, a national dimension. Indeed, most suppliers are active throughout the territory and have a uniform product offering and commercial policy. This analysis is also verified in the segment of public works materials, with the main suppliers being of national or international dimension (Saint-Gobain, Bona Sabla, Wavin, for example).</w:t>
      </w:r>
    </w:p>
    <w:p>
      <w:r>
        <w:t>2. DOWNSTREAM MARKETS FOR THE TRADING OF CONSTRUCTION MATERIALS</w:t>
      </w:r>
    </w:p>
    <w:p>
      <w:r>
        <w:t>16. Decision-making practice considers that the markets for the trading of materials are of local dimension, with professionals in the sector primarily making their purchases close to their area of intervention.</w:t>
      </w:r>
    </w:p>
    <w:p>
      <w:r>
        <w:t>17. In practice, the distances traveled by buyers of construction materials vary according to the degree of specialization of the point of sale concerned. Therefore, the defined catchment areas extend over a radius of up to 50 km around the point of sale for generalist traders and approximately 50 to 75 km around the point of sale, generally associated with the departmental level, for specialist traders. In terms of public works materials trading, a regional dimension has been considered in the case of Île-de-France for a company active throughout this area.</w:t>
      </w:r>
    </w:p>
    <w:p>
      <w:r>
        <w:t>18. In this case, each of LNTP's points of sale generates at least 90% of its turnover within its department of establishment. LNTP is thus active in the departments of Côtes-d'Armor (22), Ille-et-Vilaine (35), Loire-Atlantique (44), and Morbihan (56). In terms of public works materials trading, the Queguiner group is active in the departments of Côtes-d'Armor (22), Finistère (29), Ille-et-Vilaine (35), and Morbihan (56).</w:t>
      </w:r>
    </w:p>
    <w:p>
      <w:r>
        <w:t>19. In this case, the competitive analysis will primarily be conducted in the departments of Côtes-d'Armor (22), Ille-et-Vilaine (35), and Morbihan (56) as well as at the regional level (Brittany).</w:t>
      </w:r>
    </w:p>
    <w:p>
      <w:r>
        <w:t>III. Competitive Analysis</w:t>
      </w:r>
    </w:p>
    <w:p>
      <w:r>
        <w:t>A. ANALYSIS OF HORIZONTAL EFFECTS ON UPSTREAM MARKETS FOR THE SUPPLY OF MATERIALS</w:t>
      </w:r>
    </w:p>
    <w:p>
      <w:r>
        <w:t>20. In the upstream market for the supply of construction materials, of national dimension, LNTP and its parent companies, which are present as buyers, will hold a market share of [0-5]%, while Point P, a subsidiary of the Saint-Gobain group, holds a market share of approximately [30-40]%.</w:t>
      </w:r>
    </w:p>
    <w:p>
      <w:r>
        <w:t>21. In the segment of public works materials supply, LNTP will have a national market share of approximately [0-5]% and will face numerous competitors, such as Frans Bonhomme*, Pum Plastique*, Point P TP*, some of which are backed by large international groups.</w:t>
      </w:r>
    </w:p>
    <w:p>
      <w:r>
        <w:t>22. Consequently, the operation is not likely to harm competition in the upstream markets for the supply of construction and public works materials.</w:t>
      </w:r>
    </w:p>
    <w:p>
      <w:r>
        <w:t>B. ANALYSIS OF HORIZONTAL EFFECTS ON DOWNSTREAM MARKETS FOR THE TRADING OF CONSTRUCTION MATERIALS</w:t>
      </w:r>
    </w:p>
    <w:p>
      <w:r>
        <w:t>23. In the overall market for the trading of construction materials (or "BTP"), which the parties estimate at 18.8 billion euros, LNTP and its parent companies will hold a market share of [0-5]% at the national level. In Brittany, their market share will be [10-20]% and they will face competition from Point P ([20-30]%) and Wolseley ([10-20]%).</w:t>
      </w:r>
    </w:p>
    <w:p>
      <w:r>
        <w:t>24. At the departmental level, LNTP and its parent companies will hold a market share of [5-10]% in Côtes-d'Armor (22), [20-30]% in Finistère (29), [5-10]% in Ille-et-Vilaine (35), and [10-20]% in Morbihan (56). In each of these departments, they will face competition from Point P, which holds at least a market share of [20-30]%, but also from companies PUM or Bretagne Matériaux (except in Finistère), which are also subsidiaries of Saint-Gobain.</w:t>
      </w:r>
    </w:p>
    <w:p>
      <w:r>
        <w:t>25. The segment of public works materials trading is the only market in which the joint subsidiary LNTP will be present. In addition to the turnover of 11.8 million euros generated in this market by LNTP in 2009, that generated by the Queguiner group in the same year, namely […] million euros, must be taken into account. On a total estimated nationally by the parties at 5.8 billion euros, the market share of the joint venture will be less than [0-5]%.</w:t>
      </w:r>
    </w:p>
    <w:p>
      <w:r>
        <w:rPr>
          <w:b/>
        </w:rPr>
        <w:t>[Pages 7–8]</w:t>
      </w:r>
    </w:p>
    <w:p>
      <w:r>
        <w:t>26. The two groups are only present with this activity in the Brittany region. The market share of the parties there will be [5-10]% and they will face competition from national public works trading companies, such as Frans Bonhomme (18 agencies), PUM (a subsidiary of the Saint-Gobain group, 12 agencies), Point P TP (a subsidiary of the Saint-Gobain group, 6 agencies) or regional companies such as Bretagne Matériaux (a subsidiary of the Saint-Gobain group, 21 agencies).</w:t>
      </w:r>
    </w:p>
    <w:p>
      <w:r>
        <w:t>27. At the departmental level, LNTP will be active in the departments of Côtes-d’Armor (22), Ille-et-Vilaine (35), and Morbihan (56). The market share of the parties will be low and they will face competition from numerous companies such as Frans Bonhomme, Point P TP, PUM:</w:t>
      </w:r>
    </w:p>
    <w:p>
      <w:r>
        <w:t xml:space="preserve">Côtes d’Armor Ille-et-Vilaine Morbihan  </w:t>
        <w:br/>
        <w:t xml:space="preserve">(22) (35) (56)  </w:t>
        <w:br/>
        <w:t xml:space="preserve">VM Matériaux  </w:t>
        <w:br/>
        <w:t xml:space="preserve">[5-10]% [0-5]% [0-5]%  </w:t>
        <w:br/>
        <w:t xml:space="preserve">(LNTP)  </w:t>
        <w:br/>
        <w:t xml:space="preserve">Queguiner [0-5]% [5-10]% [5-10]%  </w:t>
        <w:br/>
        <w:t xml:space="preserve">Total Parties [5-10]% [5-10]% [5-10]%  </w:t>
        <w:br/>
        <w:t xml:space="preserve">Frans Bonhomme [20-30]% [10-20]% [20-30]%  </w:t>
        <w:br/>
        <w:t xml:space="preserve">Point P TP [5-10]% [5-10]% [5-10]%  </w:t>
        <w:br/>
        <w:t>PUM [5-10]% [5-10]% [5-10]%</w:t>
      </w:r>
    </w:p>
    <w:p>
      <w:r>
        <w:t>28. Consequently, the transaction is not likely to harm the local markets for public works materials trading.</w:t>
      </w:r>
    </w:p>
    <w:p>
      <w:r>
        <w:t>C. ANALYSIS OF THE RISK OF COORDINATION OF PARENT COMPANIES</w:t>
      </w:r>
    </w:p>
    <w:p>
      <w:r>
        <w:t>29. To the extent that the transaction involves the transition from exclusive control of the VM Matériaux group over LNTP to joint control with the Queguiner group, it could theoretically facilitate coordination among the parent companies in the markets where they are simultaneously active. Such a risk can be more evidently considered if the parent companies are simultaneously present in the same markets as those in which their subsidiary operates, but cannot be ruled out when the activities of the parent companies and their subsidiary have connections. However, the coordination must present a direct causal link with the holding of joint control over the subsidiary.</w:t>
      </w:r>
    </w:p>
    <w:p>
      <w:r>
        <w:t>30. In this case, both parent companies and their subsidiary are simultaneously active in downstream and upstream markets encompassing all construction materials. However, LNTP will be specialized in the trading of materials intended for public works, a market in which only Queguiner will remain present. As specified above in §13, the demand in this market comes from a particular category of companies that are involved in public works sites. This specificity of the demanders and the materials concerned should lead to ruling out the risk of coordination among the parent companies in the other construction materials markets in which they will remain simultaneously present.</w:t>
      </w:r>
    </w:p>
    <w:p>
      <w:r>
        <w:t>31. Furthermore, such coordination would have little effect due to the weak positions held by these companies in the relevant markets.</w:t>
      </w:r>
    </w:p>
    <w:p>
      <w:r>
        <w:t>32. Consequently, the transaction is not likely to pose a competitive risk.</w:t>
      </w:r>
    </w:p>
    <w:p>
      <w:r>
        <w:t xml:space="preserve">DECIDES  </w:t>
        <w:br/>
        <w:t xml:space="preserve">Single Article: The transaction notified under number 10-0218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