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https://www.autoritedelaconcurrence.fr/fr/decision-de-controle-des-concentrations/relative-la-prise-de-controle-conjoint-de-la-societe-lodroc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19-DCC-33 of February 26, 2019  </w:t>
        <w:br/>
        <w:t xml:space="preserve">regarding the joint control acquisition of the company Lodroc by  </w:t>
        <w:br/>
        <w:t xml:space="preserve">the companies ITM Entreprises and Majetho  </w:t>
        <w:br/>
        <w:t xml:space="preserve">The Competition Authority,  </w:t>
        <w:br/>
        <w:t xml:space="preserve">Having regard to the complete notification file sent to the mergers department on January 23, 2019,  </w:t>
        <w:br/>
        <w:t xml:space="preserve">concerning the joint control acquisition of the company Lodroc by the companies ITM Entreprises and  </w:t>
        <w:br/>
        <w:t xml:space="preserve">Majetho, and formalized by a share transfer agreement dated  </w:t>
        <w:br/>
        <w:t xml:space="preserve">January 14,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ITM Entreprises  </w:t>
        <w:br/>
        <w:t xml:space="preserve">and Majetho of the company Lodroc, which operates a predominantly food retail outlet of  </w:t>
        <w:br/>
        <w:t xml:space="preserve">supermarket type, with a surface area of 1,500 m², under the brand Intermarché, located in Moussy-le-  </w:t>
        <w:br/>
        <w:t xml:space="preserve">Neuf (77). It constitutes a concentration operation within the meaning of Article L. 430-1 of the Commercial  </w:t>
        <w:br/>
        <w:t xml:space="preserve">Code. Given the turnover achieved by the companies concerned, the operation does not fall under the  </w:t>
        <w:br/>
        <w:t xml:space="preserve">jurisdiction of the European Union. However, the control thresholds related to retail trade mentioned in  </w:t>
        <w:br/>
        <w:t xml:space="preserve">point II of 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19-018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