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https://www.autoritedelaconcurrence.fr/fr/decision-de-controle-des-concentrations/relative-la-prise-de-controle-conjoint-de-la-societe-loryal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20-DCC-159 of November 18, 2020</w:t>
        <w:br/>
        <w:t>regarding the joint control acquisition of the company Loryal by the</w:t>
        <w:br/>
        <w:t>companies Evanto and ITM Entreprises</w:t>
        <w:br/>
        <w:t>The Competition Authority,</w:t>
        <w:br/>
        <w:t>Having regard to the notification file sent complete to the mergers department on October 26, 2020,</w:t>
        <w:br/>
        <w:t>regarding the joint control acquisition of the company Loryal by the companies Evanto and</w:t>
        <w:br/>
        <w:t>ITM Entreprises, formalized by a letter of intent dated October 20, 2020;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companies Evanto and ITM</w:t>
        <w:br/>
        <w:t>Entreprises of the company Loryal, which operates a retail outlet with a dominant food focus of</w:t>
        <w:br/>
        <w:t>supermarket type under the Intermarché brand with an area of 1,200 m² in Gourin (56). It</w:t>
        <w:br/>
        <w:t>constitutes a concentration operation within the meaning of Article L. 430-1 of the Commercial Code.</w:t>
        <w:br/>
        <w:t>Considering the turnover generated by the companies concerned, the operation does not fall</w:t>
        <w:br/>
        <w:t>under the jurisdiction of the European Union. On the other hand, the control thresholds related to</w:t>
        <w:br/>
        <w:t>retail trade mentioned in point II of Article L. 430-2 of the Commercial Code are exceeded. The present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20-218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