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https://www.autoritedelaconcurrence.fr/fr/decision-de-controle-des-concentrations/relative-la-prise-de-controle-conjoint-de-la-societe-louma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11-DCC-164 of November 17, 2011  </w:t>
        <w:br/>
        <w:t xml:space="preserve">regarding the joint control acquisition of the company Louma by the  </w:t>
        <w:br/>
        <w:t xml:space="preserve">company ITM Entreprises and the Madic group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October 26, 2011, concerning the joint control acquisition of the company Louma by the company ITM  </w:t>
        <w:br/>
        <w:t xml:space="preserve">Entreprises and the Madic group formalized by a memorandum of understanding dated October 24,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ITM Entreprises and  </w:t>
        <w:br/>
        <w:t xml:space="preserve">the Madic group of the company Louma operating a retail business predominantly in food, under the  </w:t>
        <w:br/>
        <w:t xml:space="preserve">Intermarché brand, with a surface area of 2,858 m² located in the city of Rostrenen (22). It constitutes a  </w:t>
        <w:br/>
        <w:t xml:space="preserve">concentration operation within the meaning of Article L. 430-1 of the Commercial Code. Given the  </w:t>
        <w:br/>
        <w:t xml:space="preserve">turnover generated by the companies involved, the operation does not have a community dimension.  </w:t>
        <w:br/>
        <w:t xml:space="preserve">However, the control thresholds related to retail trade mentioned in point II of Article L. 430-2 of the  </w:t>
        <w:br/>
        <w:t xml:space="preserve">Commercial Code are exceeded. This operation is therefore subject to the provisions of Articles L. 430-3  </w:t>
        <w:br/>
        <w:t xml:space="preserve">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11-0201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