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https://www.autoritedelaconcurrence.fr/fr/decision-de-controle-des-concentrations/relative-la-prise-de-controle-conjoint-de-la-societe-lp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12-DCC-120 of August 31, 2012  </w:t>
        <w:br/>
        <w:t xml:space="preserve">regarding the joint control acquisition of the company LP Distribution by  </w:t>
        <w:br/>
        <w:t xml:space="preserve">the company Sogeidi Holding and the company Profidis  </w:t>
        <w:br/>
        <w:t xml:space="preserve">The Competition Authority,  </w:t>
        <w:br/>
        <w:t xml:space="preserve">Having regard to the complete notification file sent to the mergers department on July 27, 2012,  </w:t>
        <w:br/>
        <w:t xml:space="preserve">concerning the joint control acquisition of the company LP Distribution by the company Sogeidi  </w:t>
        <w:br/>
        <w:t xml:space="preserve">Holding, alongside the company Profidis, materialized by a promise of share transfers under  </w:t>
        <w:br/>
        <w:t xml:space="preserve">suspensive conditions dated May 9,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LP Distribution, which  </w:t>
        <w:br/>
        <w:t xml:space="preserve">operates a retail business predominantly in food under the brand Shopi  </w:t>
        <w:br/>
        <w:t xml:space="preserve">with an area of 480 m2 in Levallois-Perret (92), by the company Sogeidi Holding, alongside  </w:t>
        <w:br/>
        <w:t xml:space="preserve">the company Profidis, a subsidiary of the Carrefour group. It constitutes a concentration operation  </w:t>
        <w:br/>
        <w:t xml:space="preserve">within the meaning of Article L. 430-1 of the Commercial Code. Given the turnover  </w:t>
        <w:br/>
        <w:t xml:space="preserve">achieved by the companies concerned, the operation does not have a community dimension.  </w:t>
        <w:br/>
        <w:t xml:space="preserve">On the other hand, the control thresholds related to retail trade mentioned in point II of  </w:t>
        <w:br/>
        <w:t xml:space="preserve">Article L. 430-2 of the Commercial Code are exceeded. This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12-130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