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https://www.autoritedelaconcurrence.fr/fr/decision-de-controle-des-concentrations/relative-la-prise-de-controle-conjoint-de-la-societe-ludi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24-DCC-243 of November 14, 2024  </w:t>
        <w:br/>
        <w:t xml:space="preserve">regarding the joint control acquisition of the company Ludi by the company  </w:t>
        <w:br/>
        <w:t>BMF alongside the company ITM Entreprises</w:t>
      </w:r>
    </w:p>
    <w:p>
      <w:r>
        <w:t>The Competition Authority,</w:t>
      </w:r>
    </w:p>
    <w:p>
      <w:r>
        <w:t xml:space="preserve">Having regard to the complete notification file submitted to the mergers department on October 25, 2024,  </w:t>
        <w:br/>
        <w:t xml:space="preserve">concerning the joint control acquisition of the company Ludi by the company BMF alongside the  </w:t>
        <w:br/>
        <w:t xml:space="preserve">company ITM Entreprises, formalized by a share transfer agreement signed on  </w:t>
        <w:br/>
        <w:t>October 23, 2024;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>Adopts the following decision:</w:t>
      </w:r>
    </w:p>
    <w:p>
      <w:r>
        <w:t xml:space="preserve">1. The notified operation consists of the acquisition by the company BMF, alongside the company  </w:t>
        <w:br/>
        <w:t xml:space="preserve">ITM Entreprises, of the company Ludi, which operates in Capestang (34) a retail business  </w:t>
        <w:br/>
        <w:t xml:space="preserve">predominantly focused on food, with a surface area of 1,948 m², under the Intermarché brand.  </w:t>
        <w:br/>
        <w:t xml:space="preserve">The operation constitutes a concentration within the meaning of Article L. 430-1 of the Commercial Code.  </w:t>
        <w:br/>
        <w:t xml:space="preserve">Given the turnover achieved by the companies concerned, the operation does not fall  </w:t>
        <w:br/>
        <w:t xml:space="preserve">under the jurisdiction of the European Union. However, the control thresholds mentioned  </w:t>
        <w:br/>
        <w:t xml:space="preserve">in II of Article L. 430-2 of the Commercial Code are exceeded. This operation is therefore  </w:t>
        <w:br/>
        <w:t xml:space="preserve">subject to the provisions of Articles L. 430-3 and following of the Commercial Code relating to  </w:t>
        <w:br/>
        <w:t>economic concentration.</w:t>
      </w:r>
    </w:p>
    <w:p>
      <w:r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24-272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