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https://www.autoritedelaconcurrence.fr/fr/decision-de-controle-des-concentrations/relative-la-prise-de-controle-conjoint-de-la-societe-lutry</w:t>
      </w:r>
    </w:p>
    <w:p>
      <w:r>
        <w:t>Pages translated : 2</w:t>
      </w:r>
    </w:p>
    <w:p/>
    <w:p>
      <w:r>
        <w:rPr>
          <w:b/>
        </w:rPr>
        <w:t>[Pages 1–2]</w:t>
      </w:r>
    </w:p>
    <w:p>
      <w:r>
        <w:t xml:space="preserve">FRENCH REPUBLIC  </w:t>
        <w:br/>
        <w:t xml:space="preserve">Decision No. 19-DCC-124 of June 25, 2019  </w:t>
        <w:br/>
        <w:t xml:space="preserve">regarding the joint control acquisition of the company Lutry by the  </w:t>
        <w:br/>
        <w:t xml:space="preserve">companies ITM Entreprises and Jupau  </w:t>
        <w:br/>
        <w:t xml:space="preserve">The Competition Authority,  </w:t>
        <w:br/>
        <w:t xml:space="preserve">Having regard to the complete notification file sent to the mergers department on May 21, 2019,  </w:t>
        <w:br/>
        <w:t xml:space="preserve">concerning the joint control acquisition of the company Lutry by the companies ITM Entreprises and  </w:t>
        <w:br/>
        <w:t xml:space="preserve">Jupau, and formalized by a share transfer agreement dated April 18,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ITM Entreprises  </w:t>
        <w:br/>
        <w:t xml:space="preserve">and Jupau of the company Lutry, operator of a retail business fund predominantly in food of the supermarket type, with a surface area of 965 m² under the Intermarché brand and located in Marseille (13).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19-129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