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https://www.autoritedelaconcurrence.fr/fr/decision-de-controle-des-concentrations/relative-la-prise-de-controle-conjoint-de-la-societe-lvd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18-DCC-78 of May 18, 2018  </w:t>
        <w:br/>
        <w:t xml:space="preserve">regarding the joint control acquisition of the company LVD SARL by the  </w:t>
        <w:br/>
        <w:t xml:space="preserve">company Profidis SAS and the company Financière Aljy SA  </w:t>
        <w:br/>
        <w:t xml:space="preserve">The Competition Authority,  </w:t>
        <w:br/>
        <w:t xml:space="preserve">Having regard to the complete notification file submitted to the mergers department on April 11, 2018,  </w:t>
        <w:br/>
        <w:t xml:space="preserve">concerning the joint control acquisition of the company LVD SARL by the company Profidis SAS and the  </w:t>
        <w:br/>
        <w:t xml:space="preserve">company Financière Aljy SA, materialized by a unilateral promise of transfer of shares dated November 13, 2017, and a memorandum of understanding dated March 21,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joint control by the company Profidis SAS, a subsidiary  </w:t>
        <w:br/>
        <w:t xml:space="preserve">of the Carrefour group, and the company Financière Aljy SA of the company LVD SARL, which  </w:t>
        <w:br/>
        <w:t xml:space="preserve">operates a food-dominant retail outlet of supermarket type with an area of 636  </w:t>
        <w:br/>
        <w:t xml:space="preserve">m² under the Carrefour City brand located in Levallois-Perret (92). It constitutes a concentration operation within the meaning of Article L. 430-1 of the Commercial Code. Given the turnover achieved by the companies concerned, the operation does not fall under the jurisdiction of  </w:t>
        <w:br/>
        <w:t xml:space="preserve">the European Union. On the other hand, the retail trade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18-073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