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https://www.autoritedelaconcurrence.fr/fr/decision-de-controle-des-concentrations/relative-la-prise-de-controle-conjoint-de-la-societe-mabel</w:t>
      </w:r>
    </w:p>
    <w:p>
      <w:r>
        <w:t>Pages translated : 2</w:t>
      </w:r>
    </w:p>
    <w:p/>
    <w:p>
      <w:r>
        <w:rPr>
          <w:b/>
        </w:rPr>
        <w:t>[Pages 1–2]</w:t>
      </w:r>
    </w:p>
    <w:p>
      <w:r>
        <w:t>FRENCH REPUBLIC</w:t>
        <w:br/>
        <w:t>Decision No. 24-DCC-215 of October 4, 2024</w:t>
        <w:br/>
        <w:t>regarding the joint control acquisition of the company Mabel by the</w:t>
        <w:br/>
        <w:t>company Thezadi alongside the company ITM Entreprises</w:t>
        <w:br/>
        <w:t>The Competition Authority,</w:t>
        <w:br/>
        <w:t>Having regard to the complete notification file submitted to the mergers department on</w:t>
        <w:br/>
        <w:t>September 13, 2024, concerning the joint control acquisition of the company Mabel by the company</w:t>
        <w:br/>
        <w:t>Thezadi alongside the company ITM Entreprises, formalized by a transfer protocol signed</w:t>
        <w:br/>
        <w:t>on July 11 and 12, 2024;</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company Thezadi, alongside</w:t>
        <w:br/>
        <w:t>the company ITM Entreprises, of the company Mabel, which operates in Canohes (66) a retail business predominantly focused on food with a surface area of 2,506 m² under the Intermarché brand.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24-226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