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https://www.autoritedelaconcurrence.fr/fr/decision-de-controle-des-concentrations/relative-la-prise-de-controle-conjoint-de-la-societe-macy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16-DCC-27 of February 15, 2016  </w:t>
        <w:br/>
        <w:t xml:space="preserve">regarding the joint control acquisition of the company Macy by the company  </w:t>
        <w:br/>
        <w:t xml:space="preserve">Jimbao alongside the company ITM Entreprises  </w:t>
        <w:br/>
        <w:t xml:space="preserve">The Competition Authority,  </w:t>
        <w:br/>
        <w:t xml:space="preserve">Having regard to the complete notification file submitted to the mergers department on January 21, 2016,  </w:t>
        <w:br/>
        <w:t xml:space="preserve">concerning the joint control acquisition of the company Macy by the company Jimbao alongside the  </w:t>
        <w:br/>
        <w:t xml:space="preserve">company ITM Entreprises, formalized by a memorandum of understanding dated December 1,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Macy, which operates  </w:t>
        <w:br/>
        <w:t xml:space="preserve">a retail business predominantly in food, under the Intermarché brand,  </w:t>
        <w:br/>
        <w:t xml:space="preserve">in the city of Saint-Romain en Viennois (84), by the company Jimbao, which is itself active in  </w:t>
        <w:br/>
        <w:t xml:space="preserve">food distribution in the department of Drôme (26). This operation constitutes  </w:t>
        <w:br/>
        <w:t xml:space="preserve">a concentration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retail control thresholds mentioned in point II of Article L. 430-2 of the Commercial Code are exceeded. The  </w:t>
        <w:br/>
        <w:t xml:space="preserve">present operation is therefore subject to the provisions of Articles 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16-018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