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https://www.autoritedelaconcurrence.fr/fr/decision-de-controle-des-concentrations/relative-la-prise-de-controle-conjoint-de-la-societe-maflor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15-DCC-172 of December 11, 2015  </w:t>
        <w:br/>
        <w:t xml:space="preserve">regarding the joint control acquisition of the company Maflor by ITM  </w:t>
        <w:br/>
        <w:t xml:space="preserve">Enterprises alongside Mr. Philippe Lebreton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6, 2015, concerning the joint control acquisition of the company Maflor by ITM  </w:t>
        <w:br/>
        <w:t xml:space="preserve">Enterprises, a subsidiary of the ITM Group, alongside Mr. Philippe Lebreton, formalized by  </w:t>
        <w:br/>
        <w:t xml:space="preserve">a draft amendment of statutes;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Maflor, which operates  </w:t>
        <w:br/>
        <w:t xml:space="preserve">a business fund of food-dominant distribution, under the brand Intermarché,  </w:t>
        <w:br/>
        <w:t xml:space="preserve">in the city of Ramonville-Saint-Agne (31), by ITM Enterprises alongside Mr.  </w:t>
        <w:br/>
        <w:t xml:space="preserve">Philippe Lebreton. This operation constitutes a concentration within the meaning of Article L. 430-1 of  </w:t>
        <w:br/>
        <w:t xml:space="preserve">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related to retail trade mentioned in point II of Article L. 430-  </w:t>
        <w:br/>
        <w:t xml:space="preserve">2 of the Commercial Code are exceeded. The present operation is therefore subject to the  </w:t>
        <w:br/>
        <w:t xml:space="preserve">provisions of Articles L. 430-3 and following of the Commercial Code relating to economic  </w:t>
        <w:br/>
        <w:t xml:space="preserve">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15-200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