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https://www.autoritedelaconcurrence.fr/fr/decision-de-controle-des-concentrations/relative-la-prise-de-controle-conjoint-de-la-societe-mageso</w:t>
      </w:r>
    </w:p>
    <w:p>
      <w:r>
        <w:t>Pages translated : 2</w:t>
      </w:r>
    </w:p>
    <w:p/>
    <w:p>
      <w:r>
        <w:rPr>
          <w:b/>
        </w:rPr>
        <w:t>[Pages 1–2]</w:t>
      </w:r>
    </w:p>
    <w:p>
      <w:r>
        <w:t xml:space="preserve">FRENCH REPUBLIC  </w:t>
        <w:br/>
        <w:t xml:space="preserve">Decision No. 21-DCC-72 of April 27, 2021  </w:t>
        <w:br/>
        <w:t xml:space="preserve">regarding the joint control acquisition of the company Mageso by the  </w:t>
        <w:br/>
        <w:t xml:space="preserve">companies Desvignes and ITM Entreprises  </w:t>
        <w:br/>
        <w:t xml:space="preserve">The Competition Authority,  </w:t>
        <w:br/>
        <w:t xml:space="preserve">Having regard to the complete notification file submitted to the mergers department on April 8, 2021,  </w:t>
        <w:br/>
        <w:t xml:space="preserve">concerning the joint control acquisition of the company Mageso by the companies Desvignes and  </w:t>
        <w:br/>
        <w:t xml:space="preserve">ITM Entreprises, formalized by a share transfer agreement dated March 24,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company Desvignes and  </w:t>
        <w:br/>
        <w:t xml:space="preserve">ITM Entreprises of the company Mageso, which operates a retail business primarily in food of the hypermarket type under the Intermarché brand with a surface area of 2,618 m² located in Saint-Usage (21). It constitutes a concentration operation within the meaning of Article L. 430-1 of the Commercial Code. Given the turnover generated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21-065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