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https://www.autoritedelaconcurrence.fr/fr/decision-de-controle-des-concentrations/relative-la-prise-de-controle-conjoint-de-la-societe-mapa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19-DCC-207 of November 8, 2019  </w:t>
        <w:br/>
        <w:t xml:space="preserve">regarding the joint control acquisition of the company Mapa by the  </w:t>
        <w:br/>
        <w:t xml:space="preserve">companies ITM Entreprises and Julolilu  </w:t>
        <w:br/>
        <w:t xml:space="preserve">The Competition Authority,  </w:t>
        <w:br/>
        <w:t xml:space="preserve">Having regard to the notification file sent to the mergers department on October 4, 2019, declared  </w:t>
        <w:br/>
        <w:t xml:space="preserve">complete on October 23, 2019, concerning the joint control acquisition by the companies ITM  </w:t>
        <w:br/>
        <w:t xml:space="preserve">Entreprises and Julolilu of the company Mapa and formalized by a memorandum of understanding dated  </w:t>
        <w:br/>
        <w:t xml:space="preserve">September 17,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joint control acquisition by the companies Julolilu and ITM  </w:t>
        <w:br/>
        <w:t xml:space="preserve">Entreprises of the company Mapa, which operates a retail business primarily focused on food under the Netto brand, with an area of 938 m² located in Seyssins (38). It constitutes a  </w:t>
        <w:br/>
        <w:t xml:space="preserve">concentration operation within the meaning of Article L. 430-1 of the Commercial Code. Given the  </w:t>
        <w:br/>
        <w:t xml:space="preserve">turnover generated by the concerned companies, the operation does not fall under the  </w:t>
        <w:br/>
        <w:t xml:space="preserve">jurisdiction of the European Union. On the other hand, the control thresholds related to retail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19-256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