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https://www.autoritedelaconcurrence.fr/fr/decision-de-controle-des-concentrations/relative-la-prise-de-controle-conjoint-de-la-societe-masdis</w:t>
      </w:r>
    </w:p>
    <w:p>
      <w:r>
        <w:t>Pages translated : 8</w:t>
      </w:r>
    </w:p>
    <w:p/>
    <w:p>
      <w:r>
        <w:rPr>
          <w:b/>
        </w:rPr>
        <w:t>[Pages 1–3]</w:t>
      </w:r>
    </w:p>
    <w:p>
      <w:r>
        <w:t xml:space="preserve">FRENCH REPUBLIC  </w:t>
        <w:br/>
        <w:t xml:space="preserve">Decision No. 14-DCC-162 of November 14, 2014  </w:t>
        <w:br/>
        <w:t xml:space="preserve">regarding the joint control of the company Masdis  </w:t>
        <w:br/>
        <w:t xml:space="preserve">by the company Montdis alongside the Association of E. Leclerc Distributor Centers  </w:t>
        <w:br/>
        <w:t xml:space="preserve">The Competition Authority,  </w:t>
        <w:br/>
        <w:t xml:space="preserve">Having regard to the notification file sent to the merger service on September 23, 2014, and declared complete on October 10, 2014, regarding the joint control of the company Masdis by the company Montdis alongside the Association of E. Leclerc Distributor Centers, formalized by a share transfer agreement dated July 30,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CONCERNED  </w:t>
        <w:br/>
        <w:t xml:space="preserve">1. THE ACQUIRERS AND THE TARGET  </w:t>
        <w:br/>
        <w:t>1. Montdis is a simplified joint-stock company controlled by Mr. Bernard Canonne, which operates as a tenant-manager a hypermarket under the E. Leclerc brand in Montbéliard (25). Montdis also controls the company Montbedis, owner of the business assets of this hypermarket, the company Montbe.VO, which operates a travel agency under the E. Leclerc Voyages brand in Montbéliard (25), the company Hexagodis, which operates a drive under the E. Leclerc brand in Audincourt, and the company Besandrive which operates a drive under the E. Leclerc brand in Besançon (25).</w:t>
      </w:r>
    </w:p>
    <w:p>
      <w:r>
        <w:t xml:space="preserve">2. The Association of E. Leclerc Distributor Centers (hereinafter, the "ACDLec") is the strategic body of the Leclerc movement, to which all individuals who manage the operating companies of Leclerc stores are members. The ACDLec notably determines the conditions for approval to the Leclerc movement and signs the signboard contracts (or brand contracts), which must be held by the operators of E. Leclerc retail stores.  </w:t>
        <w:br/>
        <w:t xml:space="preserve">3. Masdis is a limited liability company in the process of being transformed into a simplified joint-stock company. It operates under the E. Leclerc Express brand a retail store with a predominant food focus, with an area of 1,981 m², located in Masevaux (68). The capital of Masdis is currently 100% owned by the company Hypercoop, which carried out in March 2014 a spin-off operation of its 28 stores by transferring each of the 28 business assets to 28 companies. Hypercoop is itself exclusively controlled by the ACDLec.  </w:t>
        <w:br/>
        <w:t xml:space="preserve">2. THE CONTROL OF THE COMPANIES CONCERNED  </w:t>
        <w:br/>
        <w:t xml:space="preserve">4. It is argued in the notification that the ACDLec does not exercise any control over Montdis and will not exercise any control over Masdis after the operation. The latter would therefore be exclusively controlled by Mr. Bernard Canonne, and the notified operation would consist of the exclusive control of this company by Mr. Bernard Canonne, via Montdis.  </w:t>
        <w:br/>
        <w:t xml:space="preserve">5. Nevertheless, as the Competition Authority has noted in previous decisions, the obligations that the ACDLec imposes on the operating companies of Leclerc stores allow it to exert a determining influence over them. This analysis of the determining influence exercised by the ACDLec is transposable to the present operation in light of the various documents that will bind Masdis to the ACDLec.  </w:t>
        <w:br/>
        <w:t xml:space="preserve">6. Firstly, the ACDLec constitutes a company within the meaning of the provisions of Article L. 430-1 of the Commercial Code in that it carries out an economic activity consisting notably, according to the provisions of its statutes, of (i) defining the brand policy, (ii) protecting and promoting the signboard "Centre Distributeur Leclerc," (iii) controlling either for itself or on behalf of any commercial company grouping the Leclerc distributor centers, the conditions of management of the latter or of the associated E. Leclerc centers, and (iv) contributing to the creation of any organization likely to promote the activity, solidarity, and security of its members.  </w:t>
        <w:br/>
        <w:t xml:space="preserve">7. Secondly, the ACDLec's holding of joint control over Masdis following the operation arises from a set of indicators based notably on the possibility for the ACDLec to intervene in the appointment and dismissal of the president of this operating company and the members of the sponsorship council, in the commercial policy of this operating company and on the transfer of shares of the latter.  </w:t>
        <w:br/>
        <w:t xml:space="preserve">The possibility to intervene in the appointment, dismissal, and exclusion of the president of Masdis  </w:t>
        <w:br/>
        <w:t xml:space="preserve">8. The ACDLec will have a veto right over the appointment and the exercise of the functions of the president of the company Masdis. The draft statutes of this company provide that a "sponsorship council" appoints (by simple majority) and dismisses (unanimously) the president of the company, who assumes "the general management of the company." This sponsorship council also has the right to request all documents and information and to give its opinion on several strategic issues (acquisition or disposal of real estate, investment exceeding 1 million euros, company budgets).  </w:t>
        <w:br/>
        <w:t xml:space="preserve">9. It follows from these stipulations that the ACDLec will be able to exercise control over the company Masdis, through the sponsorship council of the latter. The members of the sponsorship council are, in addition to the regional supply center Scapalsace, managing partners of E. Leclerc centers or legal entities whose representative is a manager of an E. Leclerc center, and thus linked to the ACDLec by signboard contracts (or brand contracts). The members of the sponsorship council also provide their endorsement to the managers of E. Leclerc centers within the framework of a sponsorship agreement, which states "that due to the fundamental assistance provided in various forms by the LECLERC Movement and by the Sponsors of the member, it has been provided (...) for control, monitoring, or decision-making functions in favor of the Sponsors, within said Company." Furthermore, it follows from the sponsorship agreement that the managers of the operating company have no influence over the evolution of the composition of the sponsorship council in that "the Sponsored party is prohibited from proposing the dismissal of one or more Sponsors who are members of the sponsorship council of [its] company" and "generally prohibits any attitude aimed at, if not for the purpose of, ousting the Sponsors."  </w:t>
        <w:br/>
        <w:t>10. More generally, only members of the ACDLec (or the operating companies they manage) can operate a store under the E. Leclerc brand, join Galec or a cooperative supply company of the Leclerc movement, this status implying that one must hold a signboard contract (or brand contract) signed with the ACDLec, granting the right to use the E. Leclerc brand. Insofar as the ACDLec is not obliged to grant this right to use the E. Leclerc brand, nor to justify its possible refusals, and where the statutes of the ACDLec only mention, in this regard, conditions precedent to membership, without the ACDLec being obliged to grant the right to use the Leclerc brand if these conditions are met. The same applies to the charter of the members of the Leclerc movement, which also only mentions conditions precedent to membership.</w:t>
      </w:r>
    </w:p>
    <w:p>
      <w:r>
        <w:rPr>
          <w:b/>
        </w:rPr>
        <w:t>[Pages 4–6]</w:t>
      </w:r>
    </w:p>
    <w:p>
      <w:r>
        <w:t>it may withdraw this right of use of the E. Leclerc brand pursuant to provisions of the signboard contract that leave it with a very broad margin of discretion, ACDLec can control the appointment of the president, but also that of the members of the sponsorship council of the company Masdis.</w:t>
      </w:r>
    </w:p>
    <w:p>
      <w:r>
        <w:t>The intervention in the commercial policy of operating companies</w:t>
        <w:br/>
        <w:t>11. ACDLec imposes, in the signboard contracts, in the charter of the members of the Leclerc movement, and in directives disseminated by its regional delegates who ensure their proper application, two sets of obligations. These obligations significantly limit the autonomy of members in conducting their commercial policy. In this case, these obligations will be binding on Mr. Canonne as the future president of Masdis, who will conclude a signboard contract with ACDLec once the operation is authorized.</w:t>
      </w:r>
    </w:p>
    <w:p>
      <w:r>
        <w:t>12. Firstly, the association receives communication of all documents necessary for the assessment of the commercial operation of the stores by their managers. Members must therefore submit their balance sheet and income statement each year, as well as, monthly, the turnover of the previous month.</w:t>
      </w:r>
    </w:p>
    <w:p>
      <w:r>
        <w:t>13. Secondly, ACDLec also imposes, in the signboard contracts, obligations that confer it a determining role in the commercial strategy of the stores. These contracts indeed provide that members cannot apply margins higher than those practiced for wholesale sales and that, in any case, members commit "never to apply a margin higher than those recommended by ACDLec." However, the setting of the margin rate is the essential element that conditions the commercial profitability of a retail brand. The charter of ACDLec expressly states that each member is required to respect the pricing policy of the Leclerc movement, which constitutes "one of the essential elements of membership in ACDLec. (...) The average index target to be achieved to ensure the overall competitiveness of the brand is 96.5. Every member must strive to meet the set target and, in any case, have a comprehensive index at OPUS lower than 97.5. Non-compliance with this pricing rule leads to the implementation of a disciplinary procedure; a warning from ACDLec sanctions any excess, three consecutive warnings may lead to expulsion from the association." It follows that, in practice, ACDLec is indeed able to correct the commercial policy of the operating companies of Leclerc stores.</w:t>
      </w:r>
    </w:p>
    <w:p>
      <w:r>
        <w:t>14. The signboard contract contains very broad provisions in this regard, granting ACDLec extensive power to withdraw the right of use of the brand, as it provides that its termination is possible in the event of "breach of these [provisions of the signboard contract] or the Statutes or Internal Regulations of the Association of E. Leclerc Distributor Centers or of the company SC Galec, as well as in the event that [the manager of the company benefiting from the signboard contract] commits a professional or commercial fault likely to cause harm, even simply moral, to the E. Leclerc Distributor Centers" (paragraph VIII).</w:t>
      </w:r>
    </w:p>
    <w:p>
      <w:r>
        <w:t>15. See in particular the statutes of ACDLec.</w:t>
      </w:r>
    </w:p>
    <w:p>
      <w:r>
        <w:t>16. The charter of the members of the Leclerc movement notably provides for the following obligations incumbent upon the members of the Leclerc movement: the obligation of sponsorship and the obligation to adopt statutes of SAS whose model has been validated by ACDLec, the obligation to respect the social policy of the Leclerc movement, the limitation on the number of points of sale that can be operated by a member, and the obligation to respect the pricing policy of the Leclerc movement.</w:t>
      </w:r>
    </w:p>
    <w:p>
      <w:r>
        <w:t>17. See the provisions of Article 3 of the internal regulations of ACDLec.</w:t>
      </w:r>
    </w:p>
    <w:p>
      <w:r>
        <w:t>18. See Article 12 of the share transfer agreement of Masdis. The obtaining by the transferee of the right to use the E. Leclerc brand and the approval of the transferee as a member of the movement are suspensive conditions of the operation. The new signboard contract signed by Mr. Canonne will comply with the standard signboard contract signed by all members of the Leclerc movement.</w:t>
      </w:r>
    </w:p>
    <w:p>
      <w:r>
        <w:t>19. See in particular the provisions of Article 6 of the statutes of ACDLec and the internal regulations of E. Leclerc distributor centers.</w:t>
      </w:r>
    </w:p>
    <w:p>
      <w:r>
        <w:t>20. See the provisions of paragraph III of the signboard contracts.</w:t>
      </w:r>
    </w:p>
    <w:p>
      <w:r>
        <w:t>21. See page 17 of the charter of the members of the Leclerc movement.</w:t>
      </w:r>
    </w:p>
    <w:p>
      <w:r>
        <w:t>22. Furthermore, the signboard contracts impose on the members of ACDLec, notably Mr. Canonne, obligations precisely framing their supply, their investments, and their social policy. Members are also required not to operate or manage any other commercial enterprise, even if it has a similar activity. In addition to these obligations imposed by ACDLec in the signboard contracts, members of ACDLec are required to comply with the obligations set forth in the charter of the members of the Leclerc movement, and by directives outlining the brand policy developed by the strategic committee of ACDLec, and disseminated by its regional delegates. Any failure to comply with these obligations may justify the withdrawal of the right to use the E. Leclerc brand.</w:t>
      </w:r>
    </w:p>
    <w:p>
      <w:r>
        <w:t>The possibility to intervene in the share transfers of operating companies</w:t>
        <w:br/>
        <w:t>15. The various statutory provisions or contractual stipulations applicable make it difficult to transfer shares of the company Masdis to a person outside the Leclerc movement.</w:t>
      </w:r>
    </w:p>
    <w:p>
      <w:r>
        <w:t>16. Regarding share transfers by the majority shareholder, several obligations provided in the draft statutes of Masdis obstruct this:</w:t>
        <w:br/>
        <w:t>- any total or partial transfer of shares held by a partner must be subject to a "prior offer of transfer" to the other partners; and</w:t>
        <w:br/>
        <w:t>- if the other partners have not expressed their intention to acquire the shares within two years after the presentation of the prior offer of transfer, the transferor may contract with a third party, subject to notifying the transfer to each of the partners, who then have a period of 30 days to indicate whether they intend to exercise their preemption right. Failing a response within this period, they are deemed to have waived their right to acquire the shares.</w:t>
      </w:r>
    </w:p>
    <w:p>
      <w:r>
        <w:t>17. Overall, it follows from ACDLec's exclusive control over Hypercoop and all the elements noted above, and notably from the possibility for ACDLec to intervene in the administration, the commercial policy, and the share transfers of the company Masdis at the end of the operation, that ACDLec has the ability to exert a determining influence over the company Masdis and will continue to have it after the operation.</w:t>
      </w:r>
    </w:p>
    <w:p>
      <w:r>
        <w:t>B. THE OPERATION</w:t>
        <w:br/>
        <w:t>18. The present operation, formalized by a share transfer agreement dated July 30, 2014, consists of the acquisition by Mr. Bernard Canonne, via Montdis, of all the shares of Masdis, held by Hypercoop. Insofar as it results in the joint control of the company Masdis by the company Montdis alongside ACDLec, the notified operation constitutes a concentration within the meaning of Article L. 430-1 of the Commercial Code.</w:t>
      </w:r>
    </w:p>
    <w:p>
      <w:r>
        <w:t>19. The companies concerned operate retail stores and together achieve a total worldwide turnover of more than 75 million euros (Leclerc movement: […] euros for the fiscal year ending December 31, 2013; Mr. Bernard Canonne: […] euros for the fiscal year ending January 31, 2014). At least two of these companies achieve a turnover in France exceeding 15 million euros in the retail sector (Leclerc movement: […] euros for the fiscal year ending December 31, 2013; Mr. Bernard Canonne: […] euros for the fiscal year ending January 31, 2014). Given these turnover figures,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II. Definition of relevant markets</w:t>
        <w:br/>
        <w:t>20. The markets concerned by the operation fall within the sector of food retail distribution.</w:t>
      </w:r>
    </w:p>
    <w:p>
      <w:r>
        <w:t>21. According to the consistent practice of national and community competition authorities, two categories of markets can be delineated in the food retail distribution sector. These are the "downstream" markets, of local dimension, which bring together retail companies and consumers for the sale of consumer goods, and the "upstream" supply markets on which companies, as buyers, are in contact with the manufacturers of the products.</w:t>
      </w:r>
    </w:p>
    <w:p>
      <w:r>
        <w:t>A. THE UPSTREAM SUPPLY MARKETS</w:t>
        <w:br/>
        <w:t>22. Regarding supply markets, the European Commission has recognized the existence of nationally sized markets by major product groups, a delineation followed by national authorities.</w:t>
      </w:r>
    </w:p>
    <w:p>
      <w:r>
        <w:t>23. There is no reason to challenge this delineation in the context of the present operation.</w:t>
      </w:r>
    </w:p>
    <w:p>
      <w:r>
        <w:rPr>
          <w:b/>
        </w:rPr>
        <w:t>[Pages 7–8]</w:t>
      </w:r>
    </w:p>
    <w:p>
      <w:r>
        <w:t>B. THE DOWNSTREAM MARKETS OF DISTRIBUTION</w:t>
        <w:br/>
        <w:t>1. THE SERVICE MARKETS</w:t>
        <w:br/>
        <w:t>24. With regard to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(vi) mail order sales.</w:t>
        <w:br/>
        <w:t>25. Hypermarkets are usually defined as stores with a predominant food focus with a sales area equal to or greater than 2,500 m², supermarkets as stores with a predominant food focus with a sales area less than 2,500 m² and greater than 400 m², and convenience stores as stores with a predominant food focus with a sales area less than 400 m² and greater than 120 m². However, it should be noted that these thresholds must be used with caution and may be adapted to the specific case, given that stores whose area is close to a threshold, either below or above, may be in direct competition in practice.</w:t>
        <w:br/>
        <w:t>26. In this case, the store operated by Masdis is a supermarket with a sales area of 1,981 m².</w:t>
        <w:br/>
        <w:t>2. GEOGRAPHICAL DELIMITATION</w:t>
        <w:br/>
        <w:t>27. It follows from the decision-making practice that the conditions of competition are assessed in two different areas according to the size of the stores:</w:t>
        <w:br/>
        <w:t>- a market where consumer demand meets the supply of supermarkets and equivalent forms of commerce located within a 15-minute drive. These latter forms of commerce may include, in addition to supermarkets, hypermarkets located near consumers and discount stores;</w:t>
        <w:br/>
        <w:t>- a second market where consumer demand from one area meets the supply of hypermarkets that they can access within a 30-minute drive and which are, from their perspective, substitutable for each other.</w:t>
        <w:br/>
        <w:t>28. However, the attractiveness of stores of the same format may vary according to the density and quality of the commercial equipment in an area. The socio-economic characteristics of the area in question (population density, economic activity, geography, state of the road network) may also lead to refining, in the specific case, the usual delimitations presented above.</w:t>
      </w:r>
    </w:p>
    <w:p>
      <w:r>
        <w:t>29. In this case, the store concerned falls into the category of supermarkets, and the competitive analysis will be conducted on the market including all supermarkets and equivalent forms of commerce located within a 15-minute radius around the concerned point of sale.</w:t>
        <w:br/>
        <w:t>III. Competitive Analysis</w:t>
        <w:br/>
        <w:t>A. THE UPSTREAM SUPPLY MARKETS</w:t>
        <w:br/>
        <w:t>30. With regard to the upstream supply markets, the operation only concerns a store over which ACDLec had exclusive control prior to the operation. The purchasing power of the Leclerc movement is therefore not likely to be strengthened, both across all products and by product categories.</w:t>
        <w:br/>
        <w:t>31. Consequently, the operation is not likely to harm competition in the upstream supply market.</w:t>
        <w:br/>
        <w:t>B. THE DOWNSTREAM MARKETS OF DISTRIBUTION</w:t>
        <w:br/>
        <w:t>32. Masdis operates a supermarket with a sales area of 1,981 m², in Masevaux (68). However, neither ACDLec, nor Mr. Bernard Canonne or the companies he controls operate another retail store with a predominant food focus in the area defined by taking a 15-minute drive from the supermarket operated by Masdis in Masevaux. The operation therefore does not result in any overlap of activity between the parties.</w:t>
        <w:br/>
        <w:t>33. It follows from the above that the operation is not likely to harm competition in the downstream markets of food distribution.</w:t>
        <w:br/>
        <w:t>DECIDED</w:t>
        <w:br/>
        <w:t>Single Article: The operation notified under number 14-165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