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https://www.autoritedelaconcurrence.fr/fr/decision-de-controle-des-concentrations/relative-la-prise-de-controle-conjoint-de-la-societe-mial</w:t>
      </w:r>
    </w:p>
    <w:p>
      <w:r>
        <w:t>Pages translated : 2</w:t>
      </w:r>
    </w:p>
    <w:p/>
    <w:p>
      <w:r>
        <w:rPr>
          <w:b/>
        </w:rPr>
        <w:t>[Pages 1–2]</w:t>
      </w:r>
    </w:p>
    <w:p>
      <w:r>
        <w:t>FRENCH REPUBLIC</w:t>
        <w:br/>
        <w:t>Decision No. 18-DCC-158 of September 26, 2018</w:t>
        <w:br/>
        <w:t>regarding the joint control acquisition of the company Mial by the company</w:t>
        <w:br/>
        <w:t>ITM Entreprises and the company Phichar</w:t>
        <w:br/>
        <w:t>The Competition Authority,</w:t>
        <w:br/>
        <w:t>Having regard to the complete notification file sent to the mergers department on August 24, 2018,</w:t>
        <w:br/>
        <w:t>concerning the joint control acquisition of the company Mial by the company ITM Entreprises and the</w:t>
        <w:br/>
        <w:t>company Phichar, and formalized by a letter of intent dated July 30, 2018;</w:t>
        <w:br/>
        <w:t>Having regard to Book IV of the Commercial Code relating to the freedom of prices and competition, and</w:t>
        <w:br/>
        <w:t>notably its Articles L. 430-1 to L. 430-7;</w:t>
        <w:br/>
        <w:t>Having regard to the elements transmitted during the investigation by the notifying party;</w:t>
        <w:br/>
        <w:t>Adopts the following decision:</w:t>
        <w:br/>
        <w:t>1. The notified operation consists of the joint control acquisition by the company ITM Entreprises and</w:t>
        <w:br/>
        <w:t>the company Phichar of the company Mial, which operates a food-dominant retail outlet of hypermarket type with an area of 3,180 m², under the Intermarché brand, located in Castelnaudary (11). It constitutes a concentration operation within the meaning of Article L. 430-1 of the Commercial Code. Given the turnover achieved by the companies involved, the operation does not fall under the jurisdiction of the European Union. On the other hand, the retail control thresholds mentioned in point II of Article L. 430-2 of the Commercial Code are exceeded. This operation is therefore subject to the provisions of Articles L. 430-3 and following of the Commercial Code relating to economic concentration.</w:t>
        <w:br/>
        <w:t>2. In view of the elements of the file, the operation is not likely to harm competition in the relevant markets.</w:t>
        <w:br/>
        <w:t>1 On January 31, 2018, a CDAC authorization was granted to extend this retail outlet to 3,840 m², with work scheduled for the first half of 2019 and opening planned for summer 2019. The consideration of this extension does not alter the conclusions of the competitive analysis.</w:t>
      </w:r>
    </w:p>
    <w:p>
      <w:r>
        <w:t>DECIDES</w:t>
        <w:br/>
        <w:t>Sole Article: The operation notified under number 18-187 is authorized.</w:t>
        <w:b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