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https://www.autoritedelaconcurrence.fr/fr/decision-de-controle-des-concentrations/relative-la-prise-de-controle-conjoint-de-la-societe-montis</w:t>
      </w:r>
    </w:p>
    <w:p>
      <w:r>
        <w:t>Pages translated : 2</w:t>
      </w:r>
    </w:p>
    <w:p/>
    <w:p>
      <w:r>
        <w:rPr>
          <w:b/>
        </w:rPr>
        <w:t>[Pages 1–2]</w:t>
      </w:r>
    </w:p>
    <w:p>
      <w:r>
        <w:t xml:space="preserve">FRENCH REPUBLIC  </w:t>
        <w:br/>
        <w:t xml:space="preserve">Decision No. 13-DCC-158 of November 6, 2013  </w:t>
        <w:br/>
        <w:t xml:space="preserve">regarding the joint control acquisition of the company Montis by ITM Enterprises and the Montador consortium  </w:t>
        <w:br/>
        <w:t xml:space="preserve">The Competition Authority,  </w:t>
        <w:br/>
        <w:t xml:space="preserve">Having regard to the complete notification file sent to the mergers department on October 7, 2013, concerning the joint control acquisition of the company Montis by ITM Enterprises alongside the Montador consortium, and materialized by a draft of statutes validated by the president of the company Montis on October 30, 2013;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of the company Montis, operating a retail business predominantly in food, under the brand Intermarché, with a surface area of 2,400 m2, located in the city of Isneauville (76), by ITM Enterprises alongside the Montador consortium. It constitutes a concentration operation within the meaning of Article L. 430-1 of the Commercial Code. Given the turnover achieved by the companies concerned, the operation does not have a community dimension. However, the control thresholds related to retail trade mentioned in point II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13-177 is authorized.  </w:t>
        <w:br/>
        <w:t xml:space="preserve">The Vice-President,  </w:t>
        <w:br/>
        <w:t xml:space="preserve">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