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https://www.autoritedelaconcurrence.fr/fr/decision-de-controle-des-concentrations/relative-la-prise-de-controle-conjoint-de-la-societe-mymika</w:t>
      </w:r>
    </w:p>
    <w:p>
      <w:r>
        <w:t>Pages translated : 2</w:t>
      </w:r>
    </w:p>
    <w:p/>
    <w:p>
      <w:r>
        <w:rPr>
          <w:b/>
        </w:rPr>
        <w:t>[Pages 1–2]</w:t>
      </w:r>
    </w:p>
    <w:p>
      <w:r>
        <w:t>FRENCH REPUBLIC</w:t>
        <w:br/>
        <w:t>Decision No. 14-DCC-113 of August 4, 2014</w:t>
        <w:br/>
        <w:t>regarding the joint control acquisition of the company Mymika by the</w:t>
        <w:br/>
        <w:t>company Sesyclau alongside ITM Entreprises</w:t>
        <w:br/>
        <w:t>The Competition Authority,</w:t>
        <w:br/>
        <w:t>Having regard to the complete notification file submitted to the mergers department on July 10, 2014,</w:t>
        <w:br/>
        <w:t>concerning the joint control acquisition of the company Mymika by the company Sesyclau alongside</w:t>
        <w:br/>
        <w:t>ITM Entreprises, and formalized by a countersigned letter of intent dated</w:t>
        <w:br/>
        <w:t>July 1, 2014;</w:t>
        <w:br/>
        <w:t>Having regard to Book IV of the Commercial Code relating to the freedom of prices and competition, and</w:t>
        <w:br/>
        <w:t>notably its Articles L. 430-1 to L. 430-7;</w:t>
        <w:br/>
        <w:t>Adopts the following decision:</w:t>
        <w:br/>
        <w:t>1. The notified operation consists of the joint control acquisition of the company Mymika, which</w:t>
        <w:br/>
        <w:t>operates a distribution business predominantly in food under the Intermarché brand in the city of Châteauroux (36), by the company Sesyclau alongside ITM Entreprises. Sesyclau operates retail outlets located in Saint-Amand-Montrand (18) and Le Magny (36) under the Intermarché and Netto brands. This operation constitutes a concentration within the meaning of Article L. 430-1 of the Commercial Code. Given the revenues generated by the companies involved, the operation does not fall under the jurisdiction of the European Union. However, the retail control thresholds mentioned in point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14-119 is authorized.</w:t>
        <w:b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