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https://www.autoritedelaconcurrence.fr/fr/decision-de-controle-des-concentrations/relative-la-prise-de-controle-conjoint-de-la-societe-new-co</w:t>
      </w:r>
    </w:p>
    <w:p>
      <w:r>
        <w:t>Pages translated : 10</w:t>
      </w:r>
    </w:p>
    <w:p/>
    <w:p>
      <w:r>
        <w:rPr>
          <w:b/>
        </w:rPr>
        <w:t>[Pages 1–3]</w:t>
      </w:r>
    </w:p>
    <w:p>
      <w:r>
        <w:t xml:space="preserve">FRENCH REPUBLIC  </w:t>
        <w:br/>
        <w:t xml:space="preserve">Decision No. 24-DCC-265 of December 9, 2024  </w:t>
        <w:br/>
        <w:t xml:space="preserve">regarding the joint control of New Co Booa by  </w:t>
        <w:br/>
        <w:t xml:space="preserve">Holding Soprema and Burger et Cie  </w:t>
        <w:br/>
        <w:t xml:space="preserve">The Competition Authority,  </w:t>
        <w:br/>
        <w:t xml:space="preserve">Having regard to the notification file submitted in full to the merger service on  </w:t>
        <w:br/>
        <w:t xml:space="preserve">November 7, 2024, regarding the joint control of New Co Booa by  </w:t>
        <w:br/>
        <w:t xml:space="preserve">Holding Soprema and Burger et Cie, formalized by an offer letter dated March 4, 2024  </w:t>
        <w:br/>
        <w:t xml:space="preserve">and an investment protocol dated September 25, 2024;  </w:t>
        <w:br/>
        <w:t xml:space="preserve">Having regard to Book IV of the Commercial Code relating to price and competition freedom, and  </w:t>
        <w:br/>
        <w:t xml:space="preserve">notably its Articles L. 430-1 to L. 430-7;  </w:t>
        <w:br/>
        <w:t xml:space="preserve">Having regard to the supplementary elements transmitted by the notifying parties during  </w:t>
        <w:br/>
        <w:t xml:space="preserve">the investigation;  </w:t>
        <w:br/>
        <w:t>Adopts the following decision:</w:t>
      </w:r>
    </w:p>
    <w:p>
      <w:r>
        <w:t xml:space="preserve">I. The Companies Involved and the Transaction  </w:t>
        <w:br/>
        <w:t xml:space="preserve">1. Holding Soprema SA is the parent company of the family group Soprema (hereinafter "Soprema"),  </w:t>
        <w:br/>
        <w:t xml:space="preserve">based in Strasbourg (67). The group is exclusively controlled by the Bindschedler family, which  </w:t>
        <w:br/>
        <w:t xml:space="preserve">holds the entire capital of Soprema. The group is primarily active in the fields of waterproofing,  </w:t>
        <w:br/>
        <w:t xml:space="preserve">roofing, and insulation systems.  </w:t>
        <w:br/>
        <w:t xml:space="preserve">2. Burger et Cie SAS (hereinafter, "Burger et Cie") is the parent company of the family industrial  </w:t>
        <w:br/>
        <w:t xml:space="preserve">group Burger et Cie based in Lièpvre (68). The group is active in supplying materials  </w:t>
        <w:br/>
        <w:t xml:space="preserve">for home and outdoor improvement, building construction, and facade supply.  </w:t>
        <w:br/>
        <w:t xml:space="preserve">3. New Co Booa (hereinafter, "Booa") is exclusively controlled by Burger et Cie before  </w:t>
        <w:br/>
        <w:t xml:space="preserve">the transaction. Booa encompasses, for the purposes of the transaction, the activities of constructing  </w:t>
        <w:br/>
        <w:t xml:space="preserve">individual wooden frame houses under the brand "booa", the activities of constructing  </w:t>
        <w:br/>
        <w:t xml:space="preserve">professional tertiary, commercial, and industrial buildings under the brand  </w:t>
        <w:br/>
        <w:t xml:space="preserve">"booapro", and the activities of supplying facades, walls, and three-dimensional modules in  </w:t>
        <w:br/>
        <w:t xml:space="preserve">wooden frame.  </w:t>
        <w:br/>
        <w:t xml:space="preserve">4. The transaction consists of Soprema acquiring 34% of Booa's capital. It  </w:t>
        <w:br/>
        <w:t xml:space="preserve">will grant Soprema joint control of Booa alongside Burger et Cie. The notified transaction thus constitutes a concentration operation within the meaning of Article L.430-1 of the Commercial Code.  </w:t>
        <w:br/>
        <w:t xml:space="preserve">5. The companies involved together generate a total worldwide turnover excluding taxes of more than 150 million euros (Soprema: [&gt;150 million] euros for the fiscal year ending December 31, 2023; Burger et Cie: [&lt; 150 million] euros for the same fiscal year). Each of these companies has generated in France a turnover exceeding 50 million euros (Soprema: [&gt;50 million] euros for the fiscal year ending December 31, 2023; Burger et Cie: [&gt;50 million]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  </w:t>
        <w:br/>
        <w:t>1 The activities of supplying various materials intended for home and outdoor improvement (guardrails, awnings, terrace clips) are not included within Booa.</w:t>
      </w:r>
    </w:p>
    <w:p>
      <w:r>
        <w:t xml:space="preserve">II. Definition of the Relevant Markets  </w:t>
        <w:br/>
        <w:t xml:space="preserve">6. Booa engages in the construction and sale of individual wooden frame houses and turnkey professional buildings (offices, stores, etc.). Soprema is a manufacturer and supplier of insulation and waterproofing products and works.  </w:t>
        <w:br/>
        <w:t xml:space="preserve">7. The parties are not simultaneously present in the same markets, therefore the transaction will not result in horizontal overlap. Nevertheless, the risk of vertical effects will be analyzed considering the existing vertical links between the parties' activities.  </w:t>
        <w:br/>
        <w:t xml:space="preserve">A. THE SECTOR OF TURNKEY INDIVIDUAL HOUSE AND NON-RESIDENTIAL BUILDING CONSTRUCTION  </w:t>
        <w:br/>
        <w:t xml:space="preserve">1. THE RELEVANT SERVICE MARKETS  </w:t>
        <w:br/>
        <w:t xml:space="preserve">8. National2 and European3 competition authorities have considered various  </w:t>
        <w:br/>
        <w:t xml:space="preserve">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9. Regarding segmentation according to the nature of the services or goods offered, decision-making practice has considered, while leaving the question open, a distinction between:  </w:t>
        <w:br/>
        <w:t xml:space="preserve">- real estate development, which includes the activities of construction and sale of  </w:t>
        <w:br/>
        <w:t xml:space="preserve">real estate;  </w:t>
        <w:br/>
        <w:t xml:space="preserve">- management of real estate assets for one's own account;  </w:t>
        <w:br/>
        <w:t xml:space="preserve">- management of real estate assets for third parties;  </w:t>
        <w:br/>
        <w:t xml:space="preserve">- administration of real estate, which covers the activities of managing properties on behalf of owners and can be segmented between rental management and co-ownership management;  </w:t>
        <w:br/>
        <w:t xml:space="preserve">- real estate appraisal;  </w:t>
        <w:br/>
        <w:t xml:space="preserve">- real estate consulting;  </w:t>
        <w:br/>
        <w:t xml:space="preserve">- intermediation in real estate transactions, within which a distinction can be made between the sale and rental of properties.  </w:t>
        <w:br/>
        <w:t xml:space="preserve">2 See notably the decision of the Competition Authority No. 21-DCC-138 of August 5, 2021, regarding the joint control of SEMAG by Action Logement Immobilier and the region and department of Guadeloupe.  </w:t>
        <w:br/>
        <w:t xml:space="preserve">3 See notably the decisions of the European Commission COMP/M.2110 of September 25, 2000, Deutsche Bank / SEI / JV, IV/M.2825 of July 9, 2002, Fortis AG SA / Bernheim-Comofi SA, and COMP/M.3370 of March 9, 2004, BNP Paribas/ARI.  </w:t>
        <w:br/>
        <w:t>4 See the letter from the Minister of Economy, Finance and Industry C2005-126 of January 25, 2006, regarding a concentration in the real estate services sector.</w:t>
      </w:r>
    </w:p>
    <w:p>
      <w:r>
        <w:rPr>
          <w:b/>
        </w:rPr>
        <w:t>[Pages 4–6]</w:t>
      </w:r>
    </w:p>
    <w:p>
      <w:r>
        <w:t xml:space="preserve">10. The decision-making practice distinguishes residential real estate development from the development of premises intended for businesses, and has considered that the construction of individual houses was included in the real estate development market.  </w:t>
        <w:br/>
        <w:t xml:space="preserve">11. The European Commission has identified a real estate construction market. It has considered segmenting it into a market for the construction of residential buildings, the construction of non-residential buildings, and the construction of infrastructure/civil engineering.  </w:t>
        <w:br/>
        <w:t xml:space="preserve">12. The parties argue that there are specific markets for turnkey individual house construction and turnkey non-residential building construction, due to the management by the builder of all stages of construction.  </w:t>
        <w:br/>
        <w:t xml:space="preserve">13. The question of the exact definition of the market may, however, be left open, insofar as the conclusions of the competitive analysis remain unchanged, regardless of the hypothesis adopted.  </w:t>
        <w:br/>
        <w:t xml:space="preserve">14. For the purposes of the present operation, the analysis will be conducted on the markets for individual house construction on the one hand and for non-residential building construction on the other hand.  </w:t>
        <w:br/>
        <w:t xml:space="preserve">15. In this case, only Booa is active in the markets for individual house construction and non-residential buildings.  </w:t>
        <w:br/>
        <w:t xml:space="preserve">2. THE GEOGRAPHIC MARKETS  </w:t>
        <w:br/>
        <w:t xml:space="preserve">16. The European Commission and the Minister of Economy have considered, while leaving the question open, that the real estate development market could be of local or national dimension. The local dimension could be justified notably by the differences in terms of prices and demand between regions or between major urban areas.  </w:t>
        <w:br/>
        <w:t xml:space="preserve">17. Similarly, European decision-making practice has adopted a national approach to construction service markets, while leaving the exact geographical delimitation open, notably considering a European market for construction services.  </w:t>
        <w:br/>
        <w:t xml:space="preserve">18. In this case, the target has a network of fifteen (15) independent commercial agencies, which are mainly located in the East of France, in Brittany and Normandy. The bulk of its construction activities is located in the Grand Est region.  </w:t>
        <w:br/>
        <w:t xml:space="preserve">19. The parties consider that the markets for individual house construction and non-residential buildings are of national dimension, despite the presence of many regional players, due to the presence of large national players. Furthermore, they emphasize that the construction of individual houses is governed by a unified national regulatory framework.  </w:t>
        <w:br/>
        <w:t xml:space="preserve">20. In this case, the analysis will be conducted at both the national and regional levels.  </w:t>
        <w:br/>
        <w:t xml:space="preserve">B. THE INSULATION MATERIALS MANUFACTURING SECTOR  </w:t>
        <w:br/>
        <w:t xml:space="preserve">1. THE RELEVANT SERVICE MARKET  </w:t>
        <w:br/>
        <w:t xml:space="preserve">21. Insulation materials include cellular plastic insulators (expanded polystyrene (EPS), extruded polystyrene (XPS), and polyurethane (PUR)), mineral wools (glass wool and rock wool), and plant wools (such as cellulose wadding). Both national and European decision-making practice considers that these different families of materials are interchangeable in the vast majority of applications and that consequently they belong to the same relevant market.  </w:t>
        <w:br/>
        <w:t xml:space="preserve">22. In this case, Soprema manufactures and markets thermal insulation products made of cellular plastic (PUR and XPS) with the exception of EPS insulators.  </w:t>
        <w:br/>
        <w:t xml:space="preserve">2. THE GEOGRAPHIC MARKETS  </w:t>
        <w:br/>
        <w:t xml:space="preserve">23. Decision-making practice, both European and national, considers that the market for the manufacture of insulation materials is at most of European dimension, as the cost of adapting insulation materials to different national specificities is not an obstacle to intra-European trade. The Competition Authority and the Commission have been able to analyze this market at both national and European levels. There is no need to challenge this analysis during the examination of the present operation.  </w:t>
        <w:br/>
        <w:t xml:space="preserve">24. In this case, the analysis of the insulation materials manufacturing market will be conducted at the national level where the parties' activities are concentrated.  </w:t>
        <w:br/>
        <w:t xml:space="preserve">C. THE WATERPROOFING MATERIALS MANUFACTURING SECTOR  </w:t>
        <w:br/>
        <w:t xml:space="preserve">1. THE RELEVANT SERVICE MARKETS  </w:t>
        <w:br/>
        <w:t xml:space="preserve">25. Decision-making practice has identified five types of waterproofing coating materials: asphalt, bitumen, polyurethane, resin coatings, and synthetic sheet coatings.  </w:t>
        <w:br/>
        <w:t xml:space="preserve">26. Regarding the manufacture of waterproofing materials, decision-making practice has considered a distinction based on the type of materials, while leaving the question open.  </w:t>
        <w:br/>
        <w:t xml:space="preserve">27. There is no need to challenge these delimitations during the examination of the present operation.  </w:t>
        <w:br/>
        <w:t xml:space="preserve">28. In this case, Soprema manufactures and markets construction materials, notably waterproofing membranes for roofs, terraces, and civil engineering. It is active in the waterproofing coatings market through the manufacture of bitumen (bituminous membranes), resin coatings (resin for roof-terraces and resin for balconies and walkways), and synthetic sheet coatings.  </w:t>
        <w:br/>
        <w:t xml:space="preserve">2. THE GEOGRAPHIC MARKET  </w:t>
        <w:br/>
        <w:t xml:space="preserve">29. The Competition Authority has been able to determine that the analysis of the waterproofing materials manufacturing market is conducted at the national level, while emphasizing that the notifying parties had considered a national market, or even infra-European.  </w:t>
        <w:br/>
        <w:t xml:space="preserve">30. The exact delimitation of the geographical market may, however, be left open, insofar as the conclusions of the competitive analysis remain unchanged, regardless of the hypothesis adopted.  </w:t>
        <w:br/>
        <w:t xml:space="preserve">31. In this case, the analysis will be conducted at the national level where the parties' activities are concentrated.  </w:t>
        <w:br/>
        <w:t xml:space="preserve">D. THE INSULATION AND WATERPROOFING WORKS SECTOR  </w:t>
        <w:br/>
        <w:t xml:space="preserve">1. THE RELEVANT SERVICE MARKET  </w:t>
        <w:br/>
        <w:t xml:space="preserve">32. In the construction sector, decision-making practice distinguishes between structural work, which concerns the structure of the building (foundation, walls, roofing, etc.), and finishing work, which concerns the cladding and equipment of said structure (various supply networks, insulation, etc.).  </w:t>
        <w:br/>
        <w:t xml:space="preserve">33. Within structural and finishing work, decision-making practice considers a first segmentation between work performed for professional clients (public and commercial) and work for individuals. A second segmentation based on the use of the building has also been considered, distinguishing between residential buildings and non-residential buildings.  </w:t>
        <w:br/>
        <w:t>34. Specifically regarding finishing work, competition authorities have questioned a segmentation by trade, distinguishing painting work (industrial, exterior, and renovation painting), plastering work (application of powder plaster and plasterboard, apart from the installation of plasterboard forming ceilings and partitions), ceiling work (installation of stretched, suspended, or plasterboard ceilings), and partition work (installation of partitions).</w:t>
      </w:r>
    </w:p>
    <w:p>
      <w:r>
        <w:rPr>
          <w:b/>
        </w:rPr>
        <w:t>[Pages 7–9]</w:t>
      </w:r>
    </w:p>
    <w:p>
      <w:r>
        <w:t xml:space="preserve">of partition walls, modular partitions, or drywall partitions) and carpentry (in wood, plastic, or metal)18.  </w:t>
        <w:br/>
        <w:t xml:space="preserve">35. The parties argue that, similarly, a segmentation by profession could be considered, distinguishing insulation work from waterproofing work.  </w:t>
        <w:br/>
        <w:t xml:space="preserve">36. In this case, Soprema is active in the markets for insulation work and waterproofing work, notably through project management and the installation of waterproofing systems.  </w:t>
        <w:br/>
        <w:t xml:space="preserve">2. THE GEOGRAPHIC MARKETS  </w:t>
        <w:br/>
        <w:t xml:space="preserve">37. Decision-making practice retains a national dimension for the markets in the building sector.  </w:t>
        <w:br/>
        <w:t xml:space="preserve">38. It has also considered, in the specific case of finishing work, a regional dimension19 due in particular to the significant number of local players. However, national practice notes that for certain large-scale projects, the dimension of the finishing work markets may be broader.  </w:t>
        <w:br/>
        <w:t xml:space="preserve">39. In this case, the question of the exact delimitation of the markets can be left open insofar as, regardless of the delimitation retained, the conclusions of the competitive analysis will remain unchanged.  </w:t>
        <w:br/>
        <w:t xml:space="preserve">40. In this case, the analysis will be conducted at the national level.  </w:t>
        <w:br/>
        <w:t xml:space="preserve">III. Competitive Analysis  </w:t>
        <w:br/>
        <w:t xml:space="preserve">41. Since the target and Soprema are not active in the same markets, there is no risk of horizontal overlap. On the other hand, vertical effects can be identified between the activities of constructing individual houses and non-residential buildings on the one hand, and the activities of manufacturing materials and construction work on the other.  </w:t>
        <w:br/>
        <w:t xml:space="preserve">42. A vertical concentration can restrict competition by making access to the markets in which the new entity will be active more difficult, potentially excluding competitors or penalizing them by increasing their costs. However, the Authority considers that it is unlikely that a company with a market share of less than 30% in a given market could lock in a downstream or upstream market.  </w:t>
        <w:br/>
        <w:t xml:space="preserve">43. In this case, Soprema is active in the upstream markets for the manufacture of insulation and waterproofing products and for insulation and waterproofing work, while Booa is active in the downstream markets for the construction of individual houses and non-residential buildings.  </w:t>
        <w:br/>
        <w:t xml:space="preserve">18 See in particular the decision of the Competition Authority n° 16-DCC-160 mentioned above.  </w:t>
        <w:br/>
        <w:t>19 See the decision of the Competition Authority n° 13-DCC-88 of July 23, 2013, regarding the exclusive control of Carrard Services by TFN Propreté, decision n° 10-DCC-05 mentioned above, as well as the decision of the Minister C2007-132 of November 15, 2007, regarding a concentration in the building finishing sector.</w:t>
      </w:r>
    </w:p>
    <w:p>
      <w:r>
        <w:t xml:space="preserve">On the markets for insulation and waterproofing work  </w:t>
        <w:br/>
        <w:t xml:space="preserve">44. Following the transaction, Booa will be able, through its subcontractors, to call upon the insulation and waterproofing work carried out by Soprema.  </w:t>
        <w:br/>
        <w:t xml:space="preserve">45. The Authority examined whether, following the transaction, the parties would have the opportunity to implement a commercial strategy favoring the use of Soprema for the subcontracting of waterproofing and insulation work for the constructions carried out for the target, thereby leading to the exclusion of Soprema's competitors in the markets for insulation and waterproofing work.  </w:t>
        <w:br/>
        <w:t xml:space="preserve">46. In the markets for insulation and waterproofing work, Soprema's position is limited ([5-10]% market share for insulation work and [20-30]% for waterproofing work, for flat roofs only).  </w:t>
        <w:br/>
        <w:t xml:space="preserve">47. The parties indicate that Booa carries out its waterproofing and insulation work using subcontractors. While the parties do not exclude that Soprema may be consulted to become a subcontractor on certain Booa projects, they indicate that the characteristics of Booa's small-scale projects make it unlikely that Soprema would position itself on these projects, as Soprema's organization is suited to carrying out large or complex projects, even though Soprema is active on various project sizes. In this regard, the "small projects" proposed by companies such as Booa do not constitute Soprema's preferred commercial target.  </w:t>
        <w:br/>
        <w:t xml:space="preserve">48. Furthermore, the Authority notes that the very low presence of the target in the markets for individual houses and non-residential buildings, with estimated market shares below [0-5]%, makes it unlikely that a strategy aimed at excluding Soprema's competitors in the markets for insulation and waterproofing work would be pursued.  </w:t>
        <w:br/>
        <w:t xml:space="preserve">49. The risk of a locking strategy in the markets for insulation and waterproofing work can therefore be ruled out.  </w:t>
        <w:br/>
        <w:t xml:space="preserve">On the markets for the manufacture of insulation and waterproofing products  </w:t>
        <w:br/>
        <w:t xml:space="preserve">50. Soprema is present in the markets for the manufacture of insulation and waterproofing products and holds the market shares presented in the table below.  </w:t>
        <w:br/>
        <w:t xml:space="preserve">Soprema's market share by type of materials  </w:t>
        <w:br/>
        <w:t xml:space="preserve">Market for the manufacture of insulation materials [5-10]%  </w:t>
        <w:br/>
        <w:t xml:space="preserve">Market for the manufacture of waterproofing materials [30-40]% - [30-40]%  </w:t>
        <w:br/>
        <w:t xml:space="preserve">Soprema  </w:t>
        <w:br/>
        <w:t xml:space="preserve">Bituminous membranes segment [40-50]%  </w:t>
        <w:br/>
        <w:t xml:space="preserve">Synthetic sheets segment &lt; [20-30]%20  </w:t>
        <w:br/>
        <w:t xml:space="preserve">Resin segment &lt; [30-40]%21  </w:t>
        <w:br/>
        <w:t xml:space="preserve">20 Soprema holds [5-10]% market share for EPDM membranes, [10-20]% to [10-20]% market share for PVC membranes, and [20-30]% market share for TPO/PVC membranes.  </w:t>
        <w:br/>
        <w:t>21 Soprema holds [30-40]% market share for resin (SEL) for roof terraces and [30-40]% market share for resin (SEL) for balconies and walkways.</w:t>
      </w:r>
    </w:p>
    <w:p>
      <w:r>
        <w:t xml:space="preserve">51. In this regard, the transaction could lead the companies that Booa calls upon for insulation and waterproofing work to source from Soprema, thereby excluding its competitors in the markets for the manufacture of waterproofing materials where it is active and where it holds market shares above 30%. This locking strategy could be reinforced if Soprema were to be a subcontractor for Booa for waterproofing work and could likely use its own waterproofing materials to carry out this work.  </w:t>
        <w:br/>
        <w:t xml:space="preserve">52. Furthermore, Soprema could be able to restrict its contractual relationships with Booa's competitors regarding the supply of waterproofing materials, thereby favoring Booa's projects.  </w:t>
        <w:br/>
        <w:t xml:space="preserve">53. Nevertheless, regarding bituminous membranes and resins, materials for which Soprema holds significant market shares, Booa uses them very little for the former and not at all for the latter, particularly for the construction of its individual houses. Indeed, Booa primarily uses PVC membranes (approximately [60-70]%) in its constructions, a segment in which Soprema is only minimally present ([10-20]% to [10-20]%).  </w:t>
        <w:br/>
        <w:t xml:space="preserve">54. According to the parties, the use of different waterproofing materials is linked to regional habits, with a majority use of PVC membranes in the Grand Est, and to the know-how of the subcontractors that Booa calls upon. In this regard, the parties indicate that Booa has no influence over the choice of waterproofing solutions, as these are chosen by the subcontractors, who are generally specialized in one type of waterproofing. The parties further emphasize that for the subcontractors Booa uses, switching from one waterproofing technique to another would entail significant investments (purchase of equipment, training costs, etc.), given their relatively modest size.  </w:t>
        <w:br/>
        <w:t xml:space="preserve">55. In any case, the parties indicate that bituminous membranes are the least favored waterproofing solution by Booa, which prefers eco-responsible solutions.  </w:t>
        <w:br/>
        <w:t xml:space="preserve">56. Moreover, Soprema will face competition from credible competitors in the waterproofing products sector, particularly in the bituminous membranes segment, such as the IKO group which includes Axter ([20-30]% market share), the BMI group ([10-20]%), or Danosa France, belonging to the Danosa group ([5-10]%). These three competing groups have expertise in waterproofing and operate at both the European and global levels.  </w:t>
        <w:br/>
        <w:t xml:space="preserve">57. Therefore, any risk of locking competitors out of the markets for the manufacture of waterproofing materials can be ruled out, as Soprema would not be able to impose that Booa's subcontractors source from it for their waterproofing work. Furthermore, even if Soprema were to be a subcontractor for Booa on waterproofing work (see §§ 47 and following), the risk of locking in the market for the manufacture of waterproofing materials would remain limited, as indicated above, since Booa favors more eco-responsible materials.  </w:t>
        <w:br/>
        <w:t>58. Regarding the markets for the construction of individual houses and non-residential buildings in particular, Booa's market shares being low, it would not be in Soprema's interest to restrict its business relationships with Booa's competitors, at the risk of losing market shares in the market for the manufacture of waterproofing materials.</w:t>
      </w:r>
    </w:p>
    <w:p>
      <w:r>
        <w:rPr>
          <w:b/>
        </w:rPr>
        <w:t>[Pages 10–10]</w:t>
      </w:r>
    </w:p>
    <w:p>
      <w:r>
        <w:t xml:space="preserve">59. In any event, given the low market shares of the target in the downstream markets of individual house construction and non-residential buildings (less than [0-5] %), any risk of lock-in can be ruled out.  </w:t>
        <w:br/>
        <w:t xml:space="preserve">60. It follows from all the preceding developments that the transaction is not likely to harm competition through vertical effects in the markets concerned by the transaction.  </w:t>
        <w:br/>
        <w:t xml:space="preserve">DECIDES  </w:t>
        <w:br/>
        <w:t xml:space="preserve">Sole Article: The transaction notified under number 24-268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