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https://www.autoritedelaconcurrence.fr/fr/decision-de-controle-des-concentrations/relative-la-prise-de-controle-conjoint-de-la-societe-new-mt</w:t>
      </w:r>
    </w:p>
    <w:p>
      <w:r>
        <w:t>Pages translated : 14</w:t>
      </w:r>
    </w:p>
    <w:p/>
    <w:p>
      <w:r>
        <w:rPr>
          <w:b/>
        </w:rPr>
        <w:t>[Pages 1–3]</w:t>
      </w:r>
    </w:p>
    <w:p>
      <w:r>
        <w:t>FRENCH REPUBLIC</w:t>
        <w:br/>
        <w:t>Decision No. 21-DCC-210 of November 15, 2021</w:t>
        <w:br/>
        <w:t>regarding the joint acquisition of control of the company New MT by</w:t>
        <w:br/>
        <w:t>Prenatal Retail Groupe S.P.A. alongside Fijace</w:t>
        <w:br/>
        <w:t>The Competition Authority,</w:t>
        <w:br/>
        <w:t>Having regard to the notification file submitted in full to the merger service on October 27, 2021,</w:t>
        <w:br/>
        <w:t>regarding the joint acquisition of control of the company New MT by the company Prenatal Retail</w:t>
        <w:br/>
        <w:t>Groupe S.P.A., alongside the company Fijace, formalized by a share transfer agreement dated</w:t>
        <w:br/>
        <w:t>August 16, 2021;</w:t>
        <w:br/>
        <w:t>Having regard to Book IV of the Commercial Code relating to price and competition freedom, and</w:t>
        <w:br/>
        <w:t>notably its Articles L. 430-1 to L. 430-7;</w:t>
        <w:br/>
        <w:t>Having regard to Decision No. M.10 473 of the European Commission of October 26, 2021 following the</w:t>
        <w:br/>
        <w:t>reasoned submission presented by Prenatal Retail Groupe S.P.A. and Fijace in accordance with Article</w:t>
        <w:br/>
        <w:t>4, paragraph 4 of Regulation No. 139/2004 regarding a referral of the case to France and Article 57 of the</w:t>
        <w:br/>
        <w:t>Agreement on the European Economic Area;</w:t>
        <w:br/>
        <w:t>Having regard to the supplementary elements transmitted by the notifying parties during the investigation;</w:t>
        <w:br/>
        <w:t>Adopts the following decision:</w:t>
      </w:r>
    </w:p>
    <w:p>
      <w:r>
        <w:t>I. The concerned companies and the operation ...................................... 4</w:t>
        <w:br/>
        <w:t>A. THE CONCERNED COMPANIES ............................................................................................. 4</w:t>
        <w:br/>
        <w:t>B. THE OPERATION ................................................................................................................................. 4</w:t>
        <w:br/>
        <w:t>II. Delimitation of the relevant markets .......................................... 5</w:t>
        <w:br/>
        <w:t>A. THE MARKET FOR THE MANUFACTURE AND WHOLESALE DISTRIBUTION OF TOYS</w:t>
        <w:br/>
        <w:t>6</w:t>
        <w:br/>
        <w:t>1. PRODUCT AND SERVICE MARKET ................................................................................... 6</w:t>
        <w:br/>
        <w:t>2. GEOGRAPHICAL MARKET ......................................................................................................... 6</w:t>
        <w:br/>
        <w:t>B. THE MARKETS FOR RETAIL DISTRIBUTION OF TOYS ....................................... 7</w:t>
        <w:br/>
        <w:t>1. PRODUCT AND SERVICE MARKETS ................................................................................ 7</w:t>
        <w:br/>
        <w:t>Distinction by product family .................................................................... 7</w:t>
        <w:br/>
        <w:t>Distinction by distribution channel ................................................................. 7</w:t>
        <w:br/>
        <w:t>Geographical markets ........................................................................................... 8</w:t>
        <w:br/>
        <w:t>C. THE MARKETS FOR BABY PRODUCTS ................................................................ 9</w:t>
        <w:br/>
        <w:t>III. Competitive analysis ................................................................ 9</w:t>
        <w:br/>
        <w:t>A. ANALYSIS OF THE HORIZONTAL EFFECTS OF THE OPERATION ................................ 9</w:t>
        <w:br/>
        <w:t>B. ANALYSIS OF THE VERTICAL EFFECTS OF THE OPERATION ................................... 12</w:t>
        <w:br/>
        <w:t>C. ANALYSIS OF THE CONGLOMERATE EFFECTS OF THE OPERATION ........................ 12</w:t>
        <w:br/>
        <w:t>DECIDES ............................................................................................................................. 14</w:t>
      </w:r>
    </w:p>
    <w:p>
      <w:r>
        <w:t>Summary</w:t>
        <w:br/>
        <w:t>Under the terms of this decision, the Authority has authorized the joint acquisition of control by the company Prenatal Retail Groupe S.P.A (hereinafter, "PRG"), alongside the company Fijace, of the company New MT, which operates 95 retail outlets in France specializing in toys under the Maxi Toys brand. Fijace and PRG jointly control the competing brand King Jouet, which comprises nearly 250 stores, primarily in France.</w:t>
        <w:br/>
        <w:t>Given the activities of the parties, the operation mainly results in horizontal effects on the upstream markets of the manufacturing and wholesale distribution of toys, with at least a national dimension, and on the downstream markets of retail distribution of toys, with national and local dimensions. However, the consequences of the overlaps in activities between the King Jouet network and the 95 Maxi Toys stores operated by New MT have already been analyzed in Decision No. 21-DCC-144 of August 12, 2021, regarding the exclusive acquisition of assets of the Maxi Toys group by the company Fijace, during which the Authority authorized Fijace, co-controlling the King Jouet brand, to take exclusive control of the 95 Maxi Toys retail outlets, subject to the divestiture of three retail outlets. The analysis of these effects conducted during Decision No. 21-DCC-144 remains valid.</w:t>
        <w:br/>
        <w:t>Since that decision, Fijace and PRG have opened 4 stores under the King Jouet brand. The effects of the operation in the catchment areas of these stores have been analyzed, and any risk of harm to competition has been ruled out.</w:t>
        <w:br/>
        <w:t>In this decision, the Authority has also supplemented its analysis by incorporating the overlaps in activity between Atida, a company controlled by the parent company of PRG on one hand, and the activities of Fijace and New MT on the other hand. Given Atida's very marginal activity in France, the Authority considered that the operation did not raise any other competition issues than those identified in the aforementioned decision.</w:t>
        <w:br/>
        <w:t>In this context, and insofar as the commitments made by Fijace and New MT in the context of the aforementioned Decision No. 21-DCC-144 were already enforceable against PRG, these commitments, which are still sufficient to dispel all doubts regarding harm to competition raised by the operation, do not need to be reiterated in the context of this procedure.</w:t>
        <w:br/>
        <w:t>Regarding the vertical and conglomerate effects of the operation related to the activity of Artsana, the parent company of PRG, on the upstream markets of the manufacture and wholesale distribution of toys and on the market for baby products, they have been ruled out, particularly given Artsana's limited market share in these markets.</w:t>
        <w:br/>
        <w:t>The Authority has therefore authorized the operation unconditionally.</w:t>
      </w:r>
    </w:p>
    <w:p>
      <w:r>
        <w:rPr>
          <w:b/>
        </w:rPr>
        <w:t>[Pages 4–6]</w:t>
      </w:r>
    </w:p>
    <w:p>
      <w:r>
        <w:t xml:space="preserve">I. THE COMPANIES INVOLVED AND THE OPERATION  </w:t>
        <w:br/>
        <w:t xml:space="preserve">A. THE COMPANIES INVOLVED  </w:t>
        <w:br/>
        <w:t xml:space="preserve">1. Prenatal Retail Groupe S.P.A. is an Italian company, a subsidiary of Artsana, which is jointly controlled by the Investindustrial group and Catelli (hereinafter, together, "PRG").  </w:t>
        <w:br/>
        <w:t xml:space="preserve">2. Fijace is the holding company of the Gueydon family, the founder of the King Jouet brand.  </w:t>
        <w:br/>
        <w:t xml:space="preserve">3. Fijace and Prenatal Retail Groupe S.P.A. hold 49% and 51% of the capital of Distritoys, which they jointly control. Distritoys is the parent company of the King Jouet group, which is active in the retail distribution of toys through a network of over 250 outlets, mostly branches located primarily in France, and a website (www.king-jouet.com).  </w:t>
        <w:br/>
        <w:t xml:space="preserve">4. In addition to its stake in Distritoys, PRG is active in the sectors of manufacturing and retail distribution of baby products, para-pharmaceutical and beauty products, as well as children's games and toys, in several Member States of the European Union. Regarding the French territory, PRG is thus active (i) in the market for the retail distribution of toys and baby products in France through Atida and (ii) in the market for the manufacture and wholesale distribution of toys through Artsana.  </w:t>
        <w:br/>
        <w:t xml:space="preserve">5. As for Fijace, prior to the operation, it held exclusive control of New MT, the target of the present operation.  </w:t>
        <w:br/>
        <w:t xml:space="preserve">6. New MT (hereinafter, "the target") is an acquisition vehicle initially created by Fijace for the purpose of acquiring certain assets of the Maxi Toys group. To date, New MT is 80.01% owned by Fijace and 19.99% by Distritoys. New MT currently operates 120 stores under the Maxi Toys brand, of which 95 are in France, three of which are to be sold by New MT as part of the commitments made by the company in the context of the decision of the Competition Authority No. 21-DCC-144 of August 12, 2021, regarding the exclusive control of assets of the Maxi Toys group by Fijace. The other stores owned by New MT are located in Belgium and Luxembourg. New MT also performs certain support functions for the stores it operates and plays a role as a purchasing center and logistics platform.  </w:t>
        <w:br/>
        <w:t xml:space="preserve">B. THE OPERATION  </w:t>
        <w:br/>
        <w:t xml:space="preserve">7. The operation consists of the acquisition by Distritoys (jointly controlled by PRG and Fijace) of 32% of the capital of New MT. As it results in the joint control of the target by PRG, alongside Fijace, the notified operation constitutes a concentration operation within the meaning of Article L. 430-1 of the Commercial Code.  </w:t>
        <w:br/>
        <w:t xml:space="preserve">8. The operation falls under the jurisdiction of the European Union pursuant to Article 1 of Council Regulation No. 139/2004 of January 20, 2004, on the control of concentrations between undertakings. Indeed, the companies involved generate a combined worldwide turnover exceeding €5 billion: PRG generated a worldwide turnover of [&gt; €5 billion] for the last closed financial year in 2020, and Fijace generated a worldwide turnover of [&gt; €150 million] for the last closed financial year in 2020. Each of these companies generates a turnover in the European Union exceeding €250 million: PRG generated a turnover of [&gt; €250 million] in the EU for the last closed financial year in 2020, of which [&gt; €50 million] in France, and Fijace generated [&gt; €250 million] in turnover for the last closed financial year in 2020 in the European Union, of which [&gt; €50 million] in France.  </w:t>
        <w:br/>
        <w:t xml:space="preserve">9. By reasoned memorandum filed on September 30, 2021, PRG and Fijace requested the European Commission to refer the operation in its entirety to the Competition Authority under Article 4, paragraph 4 of Regulation No. 139/2004. The Authority expressed its support for this referral, with a view to the application of French concentration law. By decision of October 26, 2021, the European Commission considered that the conditions set out in Article 4, paragraph 4 of Regulation No. 139/2004 were met in this case and referred the examination of the entire operation to the Competition Authority.  </w:t>
        <w:br/>
        <w:t xml:space="preserve">10. Thus, the joint control of New MT by PRG, alongside Fijace, is subject, pursuant to IV of Article L. 430-2 of the Commercial Code, to French concentration law.  </w:t>
        <w:br/>
        <w:t xml:space="preserve">II. DELIMITATION OF THE RELEVANT MARKETS  </w:t>
        <w:br/>
        <w:t xml:space="preserve">11. The parties are simultaneously active in the upstream market for the manufacture and wholesale distribution of toys (A) and in the downstream markets for the retail distribution of toys (B). PRG is also active in the market for baby products through Atida (C).  </w:t>
        <w:br/>
        <w:t xml:space="preserve">12. The parties are also active in various markets for the retail sale of products associated with children's toys such as books, small luggage, school supplies, or small stationery. However, given the low market share of the new entity (less than 5% in each of the relevant markets mentioned above, regardless of the segmentation chosen), any risk of harm to competition can be ruled out across all these markets, which will not be subject to detailed analysis in this decision.  </w:t>
        <w:br/>
        <w:t xml:space="preserve">A. THE MARKET FOR THE MANUFACTURE AND WHOLESALE DISTRIBUTION OF TOYS  </w:t>
        <w:br/>
        <w:t xml:space="preserve">1. PRODUCT AND SERVICE MARKET  </w:t>
        <w:br/>
        <w:t xml:space="preserve">13. The upstream market for the manufacture and wholesale distribution of toys has been distinguished from that of video games. Furthermore, French decision-making practice, without settling the question, has considered segmenting this market according to the major categories of toys identified by the French Federation of Toy and Childcare Industries. It has also been considered to segment the market more finely based on toy sub-categories.  </w:t>
        <w:br/>
        <w:t xml:space="preserve">14. It has finally been considered to distinguish according to the category of clientele targeted by toy manufacturers: large and medium-sized food retail outlets (hereinafter "GSA"), large specialized retail outlets (hereinafter "GSS"), department stores, wholesalers, mail-order companies.  </w:t>
        <w:br/>
        <w:t xml:space="preserve">15. In any case, the question of the exact definition of the market for the manufacture and wholesale distribution of toys can be left open, insofar as the conclusions of the competitive analysis remain unchanged, regardless of the delimitation chosen.  </w:t>
        <w:br/>
        <w:t xml:space="preserve">2. GEOGRAPHICAL MARKET  </w:t>
        <w:br/>
        <w:t xml:space="preserve">16. French decision-making practice has considered that the upstream market for the manufacture and wholesale distribution of toys is, at least, of national dimension.  </w:t>
        <w:br/>
        <w:t xml:space="preserve">17. The question of the exact geographical delimitation of the market for the manufacture and wholesale distribution of toys can nevertheless be left open, insofar as the conclusions of the competitive analysis remain unchanged, regardless of the delimitation chosen. The analysis of the effects of the operation on this market will be conducted at the national level.  </w:t>
        <w:br/>
        <w:t>18. In this case, the parties are simultaneously active in this market as buyers. Furthermore, PRG is active in this market as a supplier, via Artsana.</w:t>
      </w:r>
    </w:p>
    <w:p>
      <w:r>
        <w:rPr>
          <w:b/>
        </w:rPr>
        <w:t>[Pages 7–9]</w:t>
      </w:r>
    </w:p>
    <w:p>
      <w:r>
        <w:t>B. THE MARKETS FOR THE RETAIL DISTRIBUTION OF TOYS</w:t>
      </w:r>
    </w:p>
    <w:p>
      <w:r>
        <w:t>1. PRODUCT AND SERVICE MARKETS</w:t>
      </w:r>
    </w:p>
    <w:p>
      <w:r>
        <w:t>19. The decision-making practice of competition authorities has considered a segmentation of the downstream markets for the retail sale of non-food products based on two criteria: product family and distribution channel.</w:t>
      </w:r>
    </w:p>
    <w:p>
      <w:r>
        <w:t>The distinction by product family</w:t>
      </w:r>
    </w:p>
    <w:p>
      <w:r>
        <w:t>20. Competition authorities generally distinguish, within the market for the retail distribution of non-food products, as many markets as there are product families. Indeed, within each of the markets thus defined, competition varies significantly due to the degree of specialization of a significant number of players in one or more product families.</w:t>
      </w:r>
    </w:p>
    <w:p>
      <w:r>
        <w:t>21. The specific category of toys has been distinguished among fifteen other categories of products. It must also be distinguished from "entertainment-multimedia" products, insofar as the decision-making practice of the Competition Authority has considered the existence of a distinct market for game consoles, console accessories, and games for consoles and computers.</w:t>
      </w:r>
    </w:p>
    <w:p>
      <w:r>
        <w:t>The distinction by distribution channel</w:t>
      </w:r>
    </w:p>
    <w:p>
      <w:r>
        <w:t>22. The Authority considers that the market for the retail distribution of toys consists of large specialized retail outlets (GSS) and large and medium-sized food retail outlets (GSA) distributing toys, as well as specialized culture-leisure stores (such as Fnac, Cultura, and Furet du Nord). Furthermore, in its decision n° 19-DCC-65, the Authority considered that only stores with a sales area of more than 200 m² should be included in the analysis, as they alone were able to exert real competitive pressure on Toys’R’Us and Picwic. Given the nature of the stores operated by the parties in this case, such an approach will also be adopted in the present decision.</w:t>
      </w:r>
    </w:p>
    <w:p>
      <w:r>
        <w:t>23. Finally, in its decision n° 19-DCC-65, reiterated several times, the Authority noted that the substitutability of the distribution channels for toys now appeared sufficient to consider that online and in-store toy sales belong to the same market of services. In accordance with the decision-making practice of the Authority, the analysis will therefore be conducted on the market for the retail distribution of toys, including in-store sales (GSS, GSA distributing toys, and specialized culture-leisure stores) and online sales.</w:t>
      </w:r>
    </w:p>
    <w:p>
      <w:r>
        <w:t>Geographical markets</w:t>
      </w:r>
    </w:p>
    <w:p>
      <w:r>
        <w:t>24. In the sector of retail trade in physical outlets, in accordance with decision-making practice, competition is exercised from the consumer's perspective primarily at the local level in markets whose size varies depending on the type of products concerned and the attractiveness of the stores.</w:t>
      </w:r>
    </w:p>
    <w:p>
      <w:r>
        <w:t>25. Regarding the distribution of toys, given the significant variations in population density in metropolitan France, the Authority considers that the size of the catchment areas may differ depending on the location of the store in question.</w:t>
      </w:r>
    </w:p>
    <w:p>
      <w:r>
        <w:t>26. Thus, in decisions n° 19-DCC-65 and 19-DCC-132, the Competition Authority retained specific catchment area sizes based on the location of the stores (Paris intra-muros, the rest of the metropolitan territory): 15 minutes by foot or by car for Paris intra-muros, 15 or 25 minutes by car for the rest of the metropolitan territory (taking the most conservative approach). In decision n° 21-DCC-144, for areas located outside Paris intra-muros and outside the major provincial cities, the analysis was conducted in areas 25 minutes by car. In major provincial cities, the analysis was conducted in areas 15 minutes around the central point of sale. Furthermore, when circumstances justified it, the analysis of isochrone areas was supplemented by an analysis of their actual footprints to determine whether the relevant catchment areas were those within 15 or 25 minutes. Such an approach has been adopted identically in the present case, given the near-identity of the parties involved in the two operations.</w:t>
      </w:r>
    </w:p>
    <w:p>
      <w:r>
        <w:t>27. Furthermore, given the integration of online sales within the market, the Authority considers that the analysis must also be conducted at the national level.</w:t>
      </w:r>
    </w:p>
    <w:p>
      <w:r>
        <w:t>28. In this case, the parties are active in this market through stores operated under the King Jouet brand for PRG and Fijace, and under the maxi Toys brand for Fijace and New MT. Furthermore, PRG is active in this market in France through the company Atida, which sells products via its website. The analysis of the effects of the operation will therefore be conducted (i) at the national level and (ii) at the local level, in accordance with the catchment areas defined above.</w:t>
      </w:r>
    </w:p>
    <w:p>
      <w:r>
        <w:t>C. THE MARKETS FOR BABY PRODUCTS</w:t>
      </w:r>
    </w:p>
    <w:p>
      <w:r>
        <w:t>29. Baby products are intended for young children. The Authority considered a more detailed segmentation among the different categories of products (for example, bath/toilet, decoration, furniture, safety, sleep, walk/outings, toys, etc.). It also segmented the market between in-store retail sales and distance selling, while leaving open the question of the existence of a single market encompassing all these distribution channels.</w:t>
      </w:r>
    </w:p>
    <w:p>
      <w:r>
        <w:t>30. In this case, the exact definition of the markets for baby products can be left open insofar as, regardless of the segmentation chosen, the conclusions of the competitive analysis remain unchanged.</w:t>
      </w:r>
    </w:p>
    <w:p>
      <w:r>
        <w:t>31. Regarding the geographical delimitation of the market, by analogy with the decision-making practice on the retail sale of clothing, the Authority identified a market corresponding to the city in which the point of sale is located when it is situated in the city center or to a catchment area of 20 minutes by car for stores located in shopping centers associated with GSS or GSA. Furthermore, the decision-making practice has considered that the market for distance selling of baby products is of national dimension. In any case, there is no need to settle the exact delimitation of the market, both geographically and in terms of products, as the conclusions of the competitive analysis remain unchanged regardless of the segmentations chosen.</w:t>
      </w:r>
    </w:p>
    <w:p>
      <w:r>
        <w:t>32. In this case, PRG is active in this market through the operation of an online sales site.</w:t>
      </w:r>
    </w:p>
    <w:p>
      <w:r>
        <w:t>III. Competitive Analysis</w:t>
      </w:r>
    </w:p>
    <w:p>
      <w:r>
        <w:t>33. Given the activities of the parties, the present operation raises horizontal (A.), vertical (B.), and conglomerate (C.) competition issues.</w:t>
      </w:r>
    </w:p>
    <w:p>
      <w:r>
        <w:t>A. ANALYSIS OF THE HORIZONTAL EFFECTS OF THE OPERATION</w:t>
      </w:r>
    </w:p>
    <w:p>
      <w:r>
        <w:t>34. Given the simultaneous presence of PRG, Fijace, and New MT in the upstream market for the manufacture and wholesale distribution of toys as buyers, and in the downstream markets for the retail distribution of toys as suppliers, the competitive analysis will focus on the horizontal effects of the operation on these different markets.</w:t>
      </w:r>
    </w:p>
    <w:p>
      <w:r>
        <w:t>35. To this end, it is necessary to revisit the specificity of this operation compared to that authorized by the Competition Authority in decision n° 21-DCC-144 of August 12, 2021, regarding the exclusive control by Fijace of assets of the Maxi Toys group, housed in the company New MT, which is the target of the present operation. In this decision, the Authority analyzed the horizontal effects related to the overlap of activities between Fijace on the one hand (through the</w:t>
      </w:r>
    </w:p>
    <w:p>
      <w:r>
        <w:rPr>
          <w:b/>
        </w:rPr>
        <w:t>[Pages 10–12]</w:t>
      </w:r>
    </w:p>
    <w:p>
      <w:r>
        <w:t xml:space="preserve">Distritoys, which holds the King Jouet brand, jointly controlled by Fijace and PRG, and the assets acquired from the Maxi Toys group.  </w:t>
        <w:br/>
        <w:t xml:space="preserve">36. However, the present operation consists of the capital increase of New MT by Distritoys, jointly controlled by PRG and Fijace. In France, in the toy distribution sector, PRG is active through Distritoys on one hand, and through Atida, which operates a website on the other hand.  </w:t>
        <w:br/>
        <w:t xml:space="preserve">37. During the present investigation, the notifying parties indicated that, since August 12, 2012, New MT had not opened any new retail outlets. As for the King Jouet brand, controlled by Fijace and PRG, it has opened 4 new retail outlets.  </w:t>
        <w:br/>
        <w:t xml:space="preserve">38. In this context, the overlaps in activities between PRG's activities via Distritoys and those of the target, in the upstream market of the manufacture and wholesale distribution of toys and in the downstream markets of retail distribution of toys, are almost identical to those described in decision no. 21-DCC-144, with the exception of the 4 stores opened since that date.  </w:t>
        <w:br/>
        <w:t xml:space="preserve">39. Among these retail outlets, two are located in catchment areas where no Maxi Toys store is present (Bout-du-Pont-de-Larn and Calais-Coquelles stores). As for the other two stores opened in Bordeaux-Meriadek and Saint Jean de la Ruelle, any risk of harm to competition can be ruled out for the following reasons.  </w:t>
        <w:br/>
        <w:t xml:space="preserve">40. On one hand, the opening of the store located in Bordeaux-Meriadek does not create any new area where the activities of the parties overlap (the nearest Maxi Toys store is more than 15 minutes away). It modifies the positions of the parties in three previously identified areas. In all of these areas, taking into account the calculation assumptions retained in decision no. 21-DCC-144 (points 42 and following), the market share of the new entity will be below 25%, so any risk of harm to competition can be ruled out.  </w:t>
        <w:br/>
        <w:t xml:space="preserve">41. On the other hand, the opening of the store located in Saint Jean de la Ruelle creates a new area where the activities of the parties overlap and modifies the positions of the parties in two previously identified areas. In the areas of Saint Jean de la Ruelle and Chécy, taking into account the calculation assumptions retained in decision no. 21-DCC-144 (points 42 and following), the market share of the new entity will be below 25%, so any risk of harm to competition can be ruled out. As for the area of Saran, the market share of the new entity will rise to [30-40]%. However, the new entity will face competition in this area from at least one GSA whose sales area dedicated to toys exceeds 200 m² and one GSS, so any risk of harm to competition can be ruled out.  </w:t>
        <w:br/>
        <w:t xml:space="preserve">42. Regarding the overlap in activities between the parties related to the activity of Atida, a subsidiary of PRG, it appears that the latter is only marginally active in France, both in the upstream markets of the manufacture and wholesale distribution of toys (as a buyer) and in the downstream markets of retail distribution of toys (as a seller). Indeed, Atida has generated a turnover of less than […] euros, which represents less than [0-5]% of market share at the national level. This turnover has been entirely generated through its website (Atida does not operate any physical stores). Consequently, the inclusion of Atida's activity in the competitive analysis of the effects of the operation on the upstream markets of the manufacture and wholesale distribution of toys and on the downstream markets of retail distribution of toys only leads to a marginal modification of the position of the new entity in the relevant markets, and does not call into question either the conclusions of the competitive analysis set out in decision no. 21-DCC-144 or those set out in points 40 and 41 of this decision.  </w:t>
        <w:br/>
        <w:t xml:space="preserve">43. Thus, and similarly to the analysis conducted in decision no. 21-DCC-144, the operation does not raise any competition issues in the upstream market of the manufacture and wholesale distribution of toys. Regarding the downstream market, while any anticompetitive effect can be ruled out at the national level, competition issues may arise in the local areas of Mont-Saint-Martin, Cosnes and Romain, Arandon Passins, Tignieu-Jameyzieu, Brignoles, and Saint Maximin la Sainte Baume.  </w:t>
        <w:br/>
        <w:t xml:space="preserve">44. In the aforementioned decision, the Authority only authorized the operation subject to the divestiture of the following three stores:  </w:t>
        <w:br/>
        <w:t xml:space="preserve">- Maxi Toys, 18 route nationale Lieu-dit Les Maragolles 54400 Cosnes-et-Romain, with a declared area of 534 m².  </w:t>
        <w:br/>
        <w:t xml:space="preserve">- Maxi Toys, ZC Les Sayes, rue des Sayes 38080 L'Isle d'Abeau, with a declared area of 1093 m².  </w:t>
        <w:br/>
        <w:t xml:space="preserve">- Maxi Toys, ZC La Laouve, route de Barjols 83470 Saint Maximin La Sainte Baume, with a declared area of 908 m².  </w:t>
        <w:br/>
        <w:t xml:space="preserve">45. In the context of the present analysis, the identified competition issues being strictly identical to those described in decision no. 21-DCC-144, these commitments are still sufficient to eliminate all doubts regarding harm to competition raised by the operation.  </w:t>
        <w:br/>
        <w:t xml:space="preserve">46. Indeed, these commitments have been undertaken by New MT, the target of the present operation, which has been defined as follows: "simplified joint-stock company under French law, whose registered office is located in Voiron (38500), industrial zone des Blanchisseries, registered with the Grenoble Trade and Companies Register under number 887 778 926, as well as the company/companies that control it within the meaning of concentration control law." (emphasis and bold added). Consequently, following the joint acquisition of control of the target, New MT, by Fijace and PRG, the commitments undertaken by Fijace and New MT in the context of decision no. 21-DCC-144 will be enforceable against PRG since the latter will control New MT within the meaning of concentration law.  </w:t>
        <w:br/>
        <w:t>47. Thus, considering the elements that have just been presented, and in particular the commitments undertaken by Fijace and New MT in the context of decision no. 21-DCC-144 that do not need to be reiterated in the context of the present procedure, any risk of horizontal effect resulting from the present operation can be ruled out.</w:t>
      </w:r>
    </w:p>
    <w:p>
      <w:r>
        <w:t xml:space="preserve">B. ANALYSIS OF THE VERTICAL EFFECTS OF THE OPERATION  </w:t>
        <w:br/>
        <w:t xml:space="preserve">48.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49. Decision-making practice generally considers that a risk of vertical effect can be ruled out as long as the market share of the company resulting from the operation in a relevant market does not exceed 30%.  </w:t>
        <w:br/>
        <w:t xml:space="preserve">50. In this case, PRG is active, via Artsana, as a supplier in the upstream market of the manufacture and wholesale distribution of toys, in which the parties are also active as buyers.  </w:t>
        <w:br/>
        <w:t xml:space="preserve">51. In this market, Artsana's market share as a seller is below 15%, regardless of the segmentation retained (including in the market for the manufacture and wholesale distribution of toys for young children, in which Artsana specializes). The market share of the parties as buyers is, depending on the assumptions, between [20-30]% and [30-40]% in the market for the manufacture and wholesale distribution of toys for young children, including in the assumption where a segmentation by distribution channel is retained. In this national market, however, the parties will face competition from significant operators such as PicWicToys, La Grande Récré, or JouéClub, which represent an important outlet for Artsana's competitors in the upstream market.  </w:t>
        <w:br/>
        <w:t>52. Given the elements that have just been presented, any risk of vertical effect resulting from the present operation can be ruled out.</w:t>
      </w:r>
    </w:p>
    <w:p>
      <w:r>
        <w:t xml:space="preserve">C. ANALYSIS OF THE CONGLOMERATE EFFECTS OF THE OPERATION  </w:t>
        <w:br/>
        <w:t xml:space="preserve">53. A concentration is likely to have conglomerate effects when the new entity extends or strengthens its presence in markets that are connected to other markets where it holds market power. Some conglomerate concentrations can indeed produce restrictive competition effects when they allow the technical or commercial linking of the sales of the new entity's products in a way that locks the market and excludes competitors. However, it is unlikely that a concentration will lead to a risk of conglomerate effect if the new entity does not have a strong position in a market from which it can leverage an effect.  </w:t>
        <w:br/>
        <w:t xml:space="preserve">54. Decision-making practice generally considers that a risk of conglomerate effect can be ruled out as long as the market share of the company resulting from the operation in a relevant market does not exceed 30%.  </w:t>
        <w:br/>
        <w:t>55. In this case, the parties are active in the retail distribution market for toys. PRG is also active in the markets for baby products.</w:t>
      </w:r>
    </w:p>
    <w:p>
      <w:r>
        <w:rPr>
          <w:b/>
        </w:rPr>
        <w:t>[Pages 13–14]</w:t>
      </w:r>
    </w:p>
    <w:p>
      <w:r>
        <w:t>56. However, in practice, a conglomerate effect between these two activities seems unlikely insofar as PRG's activity in the baby products market is conducted exclusively through the Atida website, while, regarding the retail distribution of toys, the parties' activity is primarily carried out through their network of physical stores (only [5-10]% of sales of King Jouet and Maxi Toys are made online). This difference in business model between the parties complicates the implementation of such practices.</w:t>
      </w:r>
    </w:p>
    <w:p>
      <w:r>
        <w:t>57. Furthermore, in the baby products market, PRG holds a market share of less than 5%, regardless of the segmentation chosen, including at the local level: it will therefore not be able to exert any leverage with its toy distribution activity, including at the local level.</w:t>
      </w:r>
    </w:p>
    <w:p>
      <w:r>
        <w:t>58. As for any potential leverage that could be deployed from the parties' position in the retail distribution market for toys, it can be ruled out for several reasons. First, it emerges from the elements previously presented regarding the horizontal effects of the operation that, once the divestiture commitments made by Fijace and New MT in the context of decision No. 21-DCC-144 are implemented, the parties will not have sufficient market power to implement such leverage at the local level and, a fortiori, at the national level. The parties will indeed face the presence of sufficiently credible alternatives to discipline the new entity. Moreover, in areas where only a King Jouet store is present, the possibility of deploying synergies between the parties' activities in the retail distribution of toys and in the baby products market is not unique to the operation. Finally, it emerges from the elements provided by the notifying parties that no conglomerate synergy between King Jouet and Atida's activity has been implemented to date, suggesting that the parties have no incentive to adopt such a strategy. It is unlikely that the addition of Maxi Toys stores to PRG's activity will alter these incentives, especially since sales of first-age toys represent less than 15% of the revenue generated by the King Jouet and Maxi Toys networks.</w:t>
      </w:r>
    </w:p>
    <w:p>
      <w:r>
        <w:t>59. Given the elements that have just been presented, any risk of a conglomerate effect resulting from this operation can be ruled out.</w:t>
      </w:r>
    </w:p>
    <w:p>
      <w:r>
        <w:t>DECIDES</w:t>
        <w:br/>
        <w:t>Sole Article: The operation notified under number 21-227 is authorized.</w:t>
        <w:br/>
        <w:t>The acting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