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https://www.autoritedelaconcurrence.fr/fr/decision-de-controle-des-concentrations/relative-la-prise-de-controle-conjoint-de-la-societe-nig</w:t>
      </w:r>
    </w:p>
    <w:p>
      <w:r>
        <w:t>Pages translated : 2</w:t>
      </w:r>
    </w:p>
    <w:p/>
    <w:p>
      <w:r>
        <w:rPr>
          <w:b/>
        </w:rPr>
        <w:t>[Pages 1–2]</w:t>
      </w:r>
    </w:p>
    <w:p>
      <w:r>
        <w:t xml:space="preserve">FRENCH REPUBLIC  </w:t>
        <w:br/>
        <w:t xml:space="preserve">Decision No. 21-DCC-101 of June 21, 2021  </w:t>
        <w:br/>
        <w:t xml:space="preserve">regarding the joint control acquisition of NIG Holding by  </w:t>
        <w:br/>
        <w:t xml:space="preserve">Permira and Mr. Martin-Pacheco  </w:t>
        <w:br/>
        <w:t xml:space="preserve">The Competition Authority,  </w:t>
        <w:br/>
        <w:t xml:space="preserve">Having regard to the complete notification file sent to the mergers department on June 2, 2021, concerning  </w:t>
        <w:br/>
        <w:t xml:space="preserve">the joint control acquisition of NIG Holding by Permira and Mr. Martin-Pacheco, formalized by a share transfer agreement dated April 24,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Permira and Mr. Martin-Pacheco of NIG Holding active in the real estate services sector.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21-106 is authorized.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