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https://www.autoritedelaconcurrence.fr/fr/decision-de-controle-des-concentrations/relative-la-prise-de-controle-conjoint-de-la-societe-nigrim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13-DCC-104 of August 6, 2013  </w:t>
        <w:br/>
        <w:t xml:space="preserve">regarding the joint control acquisition of the company Nigrim by the  </w:t>
        <w:br/>
        <w:t xml:space="preserve">companies Alience and ITM Entreprises  </w:t>
        <w:br/>
        <w:t xml:space="preserve">The Competition Authority,  </w:t>
        <w:br/>
        <w:t xml:space="preserve">Having regard to the complete notification file sent to the mergers department on July 9, 2013,  </w:t>
        <w:br/>
        <w:t xml:space="preserve">concerning the joint control acquisition of the company Nigrim by the companies Alience and ITM  </w:t>
        <w:br/>
        <w:t xml:space="preserve">Entreprises, formalized by a share transfer agreement signed on June 11,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Nigrim, operating  </w:t>
        <w:br/>
        <w:t xml:space="preserve">a retail outlet with a predominant food focus in the city of Nice (06),  </w:t>
        <w:br/>
        <w:t xml:space="preserve">by the company Alience, which is itself active in the retail trade with a predominant food focus,  </w:t>
        <w:br/>
        <w:t xml:space="preserve">alongside ITM Entreprises. It constitutes a concentration operation within the meaning of Article  </w:t>
        <w:br/>
        <w:t xml:space="preserve">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13-118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