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https://www.autoritedelaconcurrence.fr/fr/decision-de-controle-des-concentrations/relative-la-prise-de-controle-conjoint-de-la-societe-nivana</w:t>
      </w:r>
    </w:p>
    <w:p>
      <w:r>
        <w:t>Pages translated : 2</w:t>
      </w:r>
    </w:p>
    <w:p/>
    <w:p>
      <w:r>
        <w:rPr>
          <w:b/>
        </w:rPr>
        <w:t>[Pages 1–2]</w:t>
      </w:r>
    </w:p>
    <w:p>
      <w:r>
        <w:t xml:space="preserve">FRENCH REPUBLIC  </w:t>
        <w:br/>
        <w:t xml:space="preserve">Decision No. 19-DCC-18 of February 11, 2019  </w:t>
        <w:br/>
        <w:t xml:space="preserve">regarding the joint control acquisition of the company Nivana by the  </w:t>
        <w:br/>
        <w:t xml:space="preserve">companies Healux and ITM Entreprises  </w:t>
        <w:br/>
        <w:t xml:space="preserve">The Competition Authority,  </w:t>
        <w:br/>
        <w:t xml:space="preserve">Having regard to the notification file sent to the mergers department on November 15, 2018, declared complete on January 9, 2019, concerning the joint control acquisition of the company Nivana by the companies Healux and ITM Entreprises, and formalized by a share transfer agreement dated November 23, 2018;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Healux and ITM Entreprises of the company Nivana, which operates a predominantly food retail outlet of the supermarket type, with an area of 2,496 m², and of the convenience store type, with an area of 120 m², both under the Intermarché group brands and located in Baud (56).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18-266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