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https://www.autoritedelaconcurrence.fr/fr/decision-de-controle-des-concentrations/relative-la-prise-de-controle-conjoint-de-la-societe-odet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11-DCC-160 of November 8, 2011</w:t>
        <w:br/>
        <w:t>regarding the joint control acquisition of the company Odet Distribution</w:t>
        <w:br/>
        <w:t>by the company ITM Entreprises and the Morvan consortium</w:t>
        <w:br/>
        <w:t>The Competition Authority,</w:t>
        <w:br/>
        <w:t>Having regard to the complete notification file submitted to the mergers department on</w:t>
        <w:br/>
        <w:t>October 18, 2011, concerning the joint acquisition of the company Odet Distribution by the company</w:t>
        <w:br/>
        <w:t>ITM Entreprises and the Morvan consortium;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company ITM Entreprises and</w:t>
        <w:br/>
        <w:t>the Morvan consortium of the company Odet Distribution operating a distribution business primarily focused on food, under the Intermarché brand, with a surface area of 2,425 m2 located in the city of Briec de l’Odet (29). It constitutes a concentration operation within the meaning of Article L. 430-1 of the Commercial Code. Given the turnover generated by the companies involved,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11-0188 is authorized.</w:t>
        <w:br/>
        <w:t>The Vice-President,</w:t>
        <w:br/>
        <w:t>Françoise Aubert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