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https://www.autoritedelaconcurrence.fr/fr/decision-de-controle-des-concentrations/relative-la-prise-de-controle-conjoint-de-la-societe-opale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25-DCC-143 of June 23, 2025  </w:t>
        <w:br/>
        <w:t xml:space="preserve">regarding the joint control acquisition of the company Opale by the  </w:t>
        <w:br/>
        <w:t xml:space="preserve">companies Egeroy and ITM Entreprises  </w:t>
        <w:br/>
        <w:t xml:space="preserve">The Competition Authority,  </w:t>
        <w:br/>
        <w:t xml:space="preserve">Having regard to the complete notification file submitted to the mergers department on May 21, 2025,  </w:t>
        <w:br/>
        <w:t xml:space="preserve">concerning the joint control acquisition of the company Opale by the companies Egeroy and  </w:t>
        <w:br/>
        <w:t xml:space="preserve">ITM Entreprises, formalized by the issuance and acceptance of a letter of intent dated March 24 and  </w:t>
        <w:br/>
        <w:t xml:space="preserve">25,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Egeroy, with ITM Entreprises  </w:t>
        <w:br/>
        <w:t xml:space="preserve">retaining a preferred share, of the quasi-totality of the shares of the company Opale, which  </w:t>
        <w:br/>
        <w:t xml:space="preserve">operates a retail business predominantly in food under the Intermarché brand, with a sales area of 3,676 m², located in Saint-Lys (31).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25-136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