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https://www.autoritedelaconcurrence.fr/fr/decision-de-controle-des-concentrations/relative-la-prise-de-controle-conjoint-de-la-societe-pauldy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21-DCC-173 of September 28, 2021  </w:t>
        <w:br/>
        <w:t xml:space="preserve">regarding the joint control acquisition of the company Pauldy by the  </w:t>
        <w:br/>
        <w:t xml:space="preserve">companies ITM Entreprises and Hodeva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10, 2021, concerning the joint control acquisition of the company Pauldy by the companies  </w:t>
        <w:br/>
        <w:t xml:space="preserve">ITM Entreprises and Hodeva, formalized by a transfer protocol dated May 31,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joint control acquisition by the companies ITM Entreprises  </w:t>
        <w:br/>
        <w:t xml:space="preserve">and Hodeva of the company Pauldy, which is intended to operate a commercial establishment primarily  </w:t>
        <w:br/>
        <w:t xml:space="preserve">focused on food of the supermarket type under the Intermarché brand, with a surface area of 940 m² located in  </w:t>
        <w:br/>
        <w:t xml:space="preserve">Saint-Denis (93200). It constitutes a concentration operation within the meaning of Article L. 430-1 of the  </w:t>
        <w:br/>
        <w:t xml:space="preserve">Commercial Code. Given the turnover achieved by the companies involved, the operation does not fall under the  </w:t>
        <w:br/>
        <w:t xml:space="preserve">jurisdiction of the European Union. On the other hand, the retail control thresholds mentioned in II of Article L. 430-2 of  </w:t>
        <w:br/>
        <w:t xml:space="preserve">the 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21-206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