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https://www.autoritedelaconcurrence.fr/fr/decision-de-controle-des-concentrations/relative-la-prise-de-controle-conjoint-de-la-societe-planes</w:t>
      </w:r>
    </w:p>
    <w:p>
      <w:r>
        <w:t>Pages translated : 2</w:t>
      </w:r>
    </w:p>
    <w:p/>
    <w:p>
      <w:r>
        <w:rPr>
          <w:b/>
        </w:rPr>
        <w:t>[Pages 1–2]</w:t>
      </w:r>
    </w:p>
    <w:p>
      <w:r>
        <w:t xml:space="preserve">FRENCH REPUBLIC  </w:t>
        <w:br/>
        <w:t xml:space="preserve">Decision No. 24-DCC-280 of December 17, 2024  </w:t>
        <w:br/>
        <w:t xml:space="preserve">regarding the joint control acquisition of the company Planes Sigean by  </w:t>
        <w:br/>
        <w:t xml:space="preserve">the Planes and Carrefour groups  </w:t>
        <w:br/>
        <w:t xml:space="preserve">The Competition Authority,  </w:t>
        <w:br/>
        <w:t xml:space="preserve">Having regard to the complete notification file sent to the mergers department on  </w:t>
        <w:br/>
        <w:t xml:space="preserve">November 29, 2024, concerning the joint control acquisition of the company Planes Sigean by the  </w:t>
        <w:br/>
        <w:t xml:space="preserve">Planes and Carrefour groups formalized by a framework agreement protocol dated November 14,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Plamidis, jointly controlled  </w:t>
        <w:br/>
        <w:t xml:space="preserve">by the Carrefour group and the Planes group, of the entirety of the capital of the company Planes Sigean,  </w:t>
        <w:br/>
        <w:t xml:space="preserve">currently wholly owned by the Planes group. The operation constitutes a concentration within  </w:t>
        <w:br/>
        <w:t xml:space="preserve">the meaning of Article L. 430-1 of the Commercial Code. The company Planes Sigean owns a  </w:t>
        <w:br/>
        <w:t xml:space="preserve">supermarket-type business and the associated property that it operates in Sigean (11), under the  </w:t>
        <w:br/>
        <w:t xml:space="preserve">Carrefour Market brand. However, it is planned to transfer and expand the target business for a new area of 3,500 m² (sales area of a hypermarket), still operated under the Carrefour Market brand, on a plot of land located opposite the one where the business is currently operated. Given the revenues generated by the companies involved, the operation does not fall under the jurisdiction of the European Union. On the other hand,  </w:t>
        <w:br/>
        <w:t xml:space="preserve">the control thresholds mentioned in II of Article L. 430-2 of the Commercial Code are exceeded.  </w:t>
        <w:br/>
        <w:t xml:space="preserve">This operation is therefore subject to the provisions of Articles L. 430-3 and following of the  </w:t>
        <w:br/>
        <w:t xml:space="preserve">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24-308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