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https://www.autoritedelaconcurrence.fr/fr/decision-de-controle-des-concentrations/relative-la-prise-de-controle-conjoint-de-la-societe-rusvic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REPUBLIC OF FRANCE</w:t>
        <w:br/>
        <w:t>Decision No. 23-DCC-33 of February 13, 2023</w:t>
        <w:br/>
        <w:t>regarding the joint control acquisition of the company Rusvic by the</w:t>
        <w:br/>
        <w:t>companies Pieramax and ITM Entreprises</w:t>
        <w:br/>
        <w:t>The Competition Authority,</w:t>
        <w:br/>
        <w:t>Having regard to the complete notification file submitted to the mergers department on January 26, 2023,</w:t>
        <w:br/>
        <w:t>concerning the joint control acquisition of the company Rusvic by the companies Pieramax and</w:t>
        <w:br/>
        <w:t>ITM Entreprises, formalized by a letter of intent dated January 19, 2023, and accepted on January 20,</w:t>
        <w:br/>
        <w:t>2023;</w:t>
        <w:br/>
        <w:t>Having regard to Book IV of the Commercial Code relating to the freedom of prices and competition, and</w:t>
        <w:br/>
        <w:t>notably its Articles L. 430-1 to L. 430-7;</w:t>
        <w:br/>
        <w:t>Having regard to the additional elements provided by the notifying parties during the investigation;</w:t>
        <w:br/>
        <w:t>Adopts the following decision:</w:t>
        <w:br/>
        <w:t>1. The notified operation consists of the joint control acquisition by the companies Pieramax and</w:t>
        <w:br/>
        <w:t>ITM Entreprises of the company Rusvic, which operates a retail business primarily focused on food of the supermarket type under the Intermarché brand with a surface area of 986 m² located in</w:t>
        <w:br/>
        <w:t>Vic-sur-Cère (15). It constitutes a concentration operation within the meaning of Article</w:t>
        <w:br/>
        <w:t>L. 430-1 of the Commercial Code. Given the turnover achieved by the companies</w:t>
        <w:br/>
        <w:t>concerned, the operation does not fall under the jurisdiction of the European Union. On the other hand,</w:t>
        <w:br/>
        <w:t>the retail control thresholds mentioned in II of Article L. 430-2 of the</w:t>
        <w:br/>
        <w:t>Commercial Code are exceeded. This operation is therefore subject to the provisions of</w:t>
        <w:br/>
        <w:t>Articles 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23-019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