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https://www.autoritedelaconcurrence.fr/fr/decision-de-controle-des-concentrations/relative-la-prise-de-controle-conjoint-de-la-societe-sadima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25-DCC-147 of June 24, 2025  </w:t>
        <w:br/>
        <w:t xml:space="preserve">regarding the joint control of the company Sadima by the  </w:t>
        <w:br/>
        <w:t xml:space="preserve">companies Malro and ITM Entreprises  </w:t>
        <w:br/>
        <w:t xml:space="preserve">The Competition Authority,  </w:t>
        <w:br/>
        <w:t xml:space="preserve">Having regard to the notification file submitted in full to the merger control service on May 28, 2025,  </w:t>
        <w:br/>
        <w:t xml:space="preserve">regarding the joint control of the company Sadima by the companies Malro and  </w:t>
        <w:br/>
        <w:t xml:space="preserve">ITM Entreprises, formalized by the issuance and acceptance of a letter of intent dated  </w:t>
        <w:br/>
        <w:t xml:space="preserve">May 12, 2025;  </w:t>
        <w:br/>
        <w:t xml:space="preserve">Having regard to Book IV of the Commercial Code relating to price freedom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acquisition, by the company Malro, ITM Entreprises retaining  </w:t>
        <w:br/>
        <w:t xml:space="preserve">a preferred share, of almost all the shares of the company Sadima, which operates  </w:t>
        <w:br/>
        <w:t xml:space="preserve">a retail business predominantly in food under the Intermarché brand,  </w:t>
        <w:br/>
        <w:t xml:space="preserve">with a sales area of 1,227 m², located in Apt (84). This operation constitutes a concentration  </w:t>
        <w:br/>
        <w:t xml:space="preserve">within the meaning of Article L. 430-1 of the Commercial Code. Given the turnover generated  </w:t>
        <w:br/>
        <w:t xml:space="preserve">by the companies involved, the operation does not fall under the jurisdiction of the European  </w:t>
        <w:br/>
        <w:t xml:space="preserve">Union. However, the control thresholds mentioned in II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25-140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