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https://www.autoritedelaconcurrence.fr/fr/decision-de-controle-des-concentrations/relative-la-prise-de-controle-conjoint-de-la-societe-sael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16-DCC-77 of May 26, 2016  </w:t>
        <w:br/>
        <w:t xml:space="preserve">regarding the joint control acquisition of the company Sael by the companies  </w:t>
        <w:br/>
        <w:t xml:space="preserve">Pasaco and ITM Entreprises  </w:t>
        <w:br/>
        <w:t xml:space="preserve">The Competition Authority,  </w:t>
        <w:br/>
        <w:t xml:space="preserve">Having regard to the notification file sent to the mergers department on April 4, 2016, and declared  </w:t>
        <w:br/>
        <w:t xml:space="preserve">complete on May 18, 2016, concerning the joint control acquisition of the company Sael by the  </w:t>
        <w:br/>
        <w:t xml:space="preserve">companies Pasaco and ITM Entreprises, formalized by a letter of intent dated April 26,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Sael, which operates a  </w:t>
        <w:br/>
        <w:t xml:space="preserve">business predominantly in food distribution under the Intermarché brand in the city of Angers (49), by the  </w:t>
        <w:br/>
        <w:t xml:space="preserve">companies Pasaco and ITM Entreprises. This operation constitutes a concentration within the meaning of  </w:t>
        <w:br/>
        <w:t xml:space="preserve">Article L. 430-1 of the Commercial Code. Given the turnover achieved by the companies concerned, the  </w:t>
        <w:br/>
        <w:t xml:space="preserve">operation does not fall under the jurisdiction of the European Union. However, the retail control thresholds  </w:t>
        <w:br/>
        <w:t xml:space="preserve">mentioned in point II of Article L. 430-2 of the Commercial Code are exceeded. This operation is therefore  </w:t>
        <w:br/>
        <w:t xml:space="preserve">subject to the provisions of Articles L. 430-3 and following of the Commercial Code relating to economic  </w:t>
        <w:br/>
        <w:t xml:space="preserve">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16-058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