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https://www.autoritedelaconcurrence.fr/fr/decision-de-controle-des-concentrations/relative-la-prise-de-controle-conjoint-de-la-societe-saint</w:t>
      </w:r>
    </w:p>
    <w:p>
      <w:r>
        <w:t>Pages translated : 2</w:t>
      </w:r>
    </w:p>
    <w:p/>
    <w:p>
      <w:r>
        <w:rPr>
          <w:b/>
        </w:rPr>
        <w:t>[Pages 1–2]</w:t>
      </w:r>
    </w:p>
    <w:p>
      <w:r>
        <w:t>REPUBLIC OF FRANCE</w:t>
        <w:br/>
        <w:t>Decision No. 14-DCC-165 of November 13, 2014</w:t>
        <w:br/>
        <w:t>regarding the joint control acquisition of the company Saint André Distribution by the Chauvin consortium alongside ITM Entreprises</w:t>
        <w:br/>
        <w:t>The Competition Authority,</w:t>
        <w:br/>
        <w:t>Having regard to the complete notification file submitted to the mergers department on October 21, 2014, concerning the joint control acquisition of the company Saint André Distribution by the Chauvin consortium alongside ITM Entreprises, and evidenced by a certificate of amendment of the statutes of the company Saint André Distribution dated October 13, 2014;</w:t>
        <w:br/>
        <w:t>Having regard to Book IV of the Commercial Code relating to the freedom of prices and competition, and in particular its Articles L. 430-1 to L. 430-7;</w:t>
        <w:br/>
        <w:t>Adopts the following decision:</w:t>
        <w:br/>
        <w:t>1. The notified operation consists of the joint control acquisition of the company Saint André Distribution, operating a supermarket-type business predominantly selling food under the Intermarché brand in the city of Saint André de Cubzac (33), by the Chauvin consortium alongside ITM Entreprises.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w:t>
        <w:br/>
        <w:t>2. In light of the elements of the file, the operation is not likely to harm competition in the relevant markets.</w:t>
      </w:r>
    </w:p>
    <w:p>
      <w:r>
        <w:t>DECIDES</w:t>
        <w:br/>
        <w:t>Sole Article: The operation notified under number 14-183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