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https://www.autoritedelaconcurrence.fr/fr/decision-de-controle-des-concentrations/relative-la-prise-de-controle-conjoint-de-la-societe-sajon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15-DCC-164 of December 14, 2015  </w:t>
        <w:br/>
        <w:t xml:space="preserve">regarding the joint control of the company Sajon by  </w:t>
        <w:br/>
        <w:t xml:space="preserve">Mr. Jonathan Dionnet and ITM Entreprises  </w:t>
        <w:br/>
        <w:t xml:space="preserve">The Competition Authority,  </w:t>
        <w:br/>
        <w:t xml:space="preserve">Having regard to the notification file submitted in full to the mergers department on November 6,  </w:t>
        <w:br/>
        <w:t xml:space="preserve">2015, concerning the joint control of the company Sajon by Mr. Jonathan Dionnet and  </w:t>
        <w:br/>
        <w:t xml:space="preserve">ITM Entreprises, materialized by a donation contract and a share purchase promise  </w:t>
        <w:br/>
        <w:t xml:space="preserve">dated September 29,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the company Sajon, which operates  </w:t>
        <w:br/>
        <w:t xml:space="preserve">a retail outlet predominantly selling food under the Intermarché brand in the city  </w:t>
        <w:br/>
        <w:t xml:space="preserve">of Angoulême (16), by Mr. Jonathan Dionnet and ITM Entreprises. This operation constitutes  </w:t>
        <w:br/>
        <w:t xml:space="preserve">a concentration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15-201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