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https://www.autoritedelaconcurrence.fr/fr/decision-de-controle-des-concentrations/relative-la-prise-de-controle-conjoint-de-la-societe-sas-0</w:t>
      </w:r>
    </w:p>
    <w:p>
      <w:r>
        <w:t>Pages translated : 2</w:t>
      </w:r>
    </w:p>
    <w:p/>
    <w:p>
      <w:r>
        <w:rPr>
          <w:b/>
        </w:rPr>
        <w:t>[Pages 1–2]</w:t>
      </w:r>
    </w:p>
    <w:p>
      <w:r>
        <w:t xml:space="preserve">FRENCH REPUBLIC  </w:t>
        <w:br/>
        <w:t xml:space="preserve">Decision No. 17-DCC-65 of May 19, 2017  </w:t>
        <w:br/>
        <w:t xml:space="preserve">regarding the joint control acquisition of the company SAS Jeanath Distribution by the Millet spouses and the company Expan U Sud  </w:t>
        <w:br/>
        <w:t xml:space="preserve">The Competition Authority,  </w:t>
        <w:br/>
        <w:t xml:space="preserve">Having regard to the complete notification file sent to the mergers department on April 24, 2017, concerning the joint control acquisition of the company SAS Jeanath Distribution by the Millet spouses and the company Expan U Sud, formalized by two letters of intent dated February 6, 2017, and April 21,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Millet spouses and the company Expan U Sud of joint control of the company Jeanath Distribution, which operates a predominantly food retail outlet under the Super U brand in the city of Laguenne (19). This operation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17-076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