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https://www.autoritedelaconcurrence.fr/fr/decision-de-controle-des-concentrations/relative-la-prise-de-controle-conjoint-de-la-societe-sas-1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18-DCC-197 of November 22, 2018  </w:t>
        <w:br/>
        <w:t xml:space="preserve">regarding the joint control acquisition of the company SAS Tolodis by  </w:t>
        <w:br/>
        <w:t xml:space="preserve">Mr. Le Gal and the Cooperative U Enseigne  </w:t>
        <w:br/>
        <w:t xml:space="preserve">The Competition Authority,  </w:t>
        <w:br/>
        <w:t xml:space="preserve">Having regard to the notification file submitted in full to the mergers department on October 24, 2018,  </w:t>
        <w:br/>
        <w:t xml:space="preserve">concerning the joint control acquisition of the company SAS Tolodis by Mr. Le Gal and the  </w:t>
        <w:br/>
        <w:t xml:space="preserve">Cooperative U Enseigne, and formalized by a share transfer agreement dated  </w:t>
        <w:br/>
        <w:t xml:space="preserve">October 16,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Mr. Le Gal and the Cooperative U Enseigne of  </w:t>
        <w:br/>
        <w:t xml:space="preserve">joint control of SAS Tolodis, which primarily operates a food-dominant business with a surface area of  </w:t>
        <w:br/>
        <w:t xml:space="preserve">2,710 m² under the Super U brand, located in Martres-Tolosane (31). It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On the other hand, the control thresholds related to retail trade mentioned in point II of Article L. 430-2 of the  </w:t>
        <w:br/>
        <w:t xml:space="preserve">Commercial Code are exceeded. This operation is therefore subject to the provisions of Articles L. 430-3 and  </w:t>
        <w:br/>
        <w:t xml:space="preserve">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18-244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